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2F89" w:rsidRPr="006950F7" w:rsidRDefault="006950F7">
      <w:pPr>
        <w:rPr>
          <w:rFonts w:ascii="Arial" w:hAnsi="Arial" w:cs="Arial"/>
          <w:b/>
          <w:sz w:val="28"/>
          <w:szCs w:val="28"/>
        </w:rPr>
      </w:pPr>
      <w:r w:rsidRPr="006950F7">
        <w:rPr>
          <w:rFonts w:ascii="Arial" w:hAnsi="Arial" w:cs="Arial"/>
          <w:b/>
          <w:sz w:val="28"/>
          <w:szCs w:val="28"/>
        </w:rPr>
        <w:t>EL MARQUESADO DE CASABLANCA DE MEDINACELI</w:t>
      </w:r>
    </w:p>
    <w:p w:rsidR="006950F7" w:rsidRDefault="006950F7">
      <w:pPr>
        <w:rPr>
          <w:rFonts w:ascii="Arial" w:hAnsi="Arial" w:cs="Arial"/>
          <w:sz w:val="24"/>
          <w:szCs w:val="24"/>
        </w:rPr>
      </w:pPr>
    </w:p>
    <w:p w:rsidR="006950F7" w:rsidRDefault="006950F7" w:rsidP="006950F7">
      <w:pPr>
        <w:spacing w:line="240" w:lineRule="auto"/>
        <w:rPr>
          <w:rFonts w:ascii="Arial" w:eastAsia="Times New Roman" w:hAnsi="Arial" w:cs="Arial"/>
          <w:sz w:val="24"/>
          <w:szCs w:val="24"/>
          <w:lang w:eastAsia="es-ES"/>
        </w:rPr>
      </w:pPr>
      <w:r w:rsidRPr="006950F7">
        <w:rPr>
          <w:rFonts w:ascii="Arial" w:eastAsia="Times New Roman" w:hAnsi="Arial" w:cs="Arial"/>
          <w:sz w:val="24"/>
          <w:szCs w:val="24"/>
          <w:lang w:eastAsia="es-ES"/>
        </w:rPr>
        <w:t xml:space="preserve">El </w:t>
      </w:r>
      <w:r w:rsidRPr="006950F7">
        <w:rPr>
          <w:rFonts w:ascii="Arial" w:eastAsia="Times New Roman" w:hAnsi="Arial" w:cs="Arial"/>
          <w:bCs/>
          <w:sz w:val="24"/>
          <w:szCs w:val="24"/>
          <w:lang w:eastAsia="es-ES"/>
        </w:rPr>
        <w:t>Marquesado de Casablanca</w:t>
      </w:r>
      <w:r w:rsidRPr="006950F7">
        <w:rPr>
          <w:rFonts w:ascii="Arial" w:eastAsia="Times New Roman" w:hAnsi="Arial" w:cs="Arial"/>
          <w:sz w:val="24"/>
          <w:szCs w:val="24"/>
          <w:lang w:eastAsia="es-ES"/>
        </w:rPr>
        <w:t xml:space="preserve"> es un título nobiliario español creado el 9 de noviembre de 1712 por el rey Felipe V a favor de Luis Maza de Mendoza y Montalvo. En la villa histórica de Medinaceli (Soria), este título está representado por su emblemático palacio señorial del siglo XVII.</w:t>
      </w:r>
    </w:p>
    <w:p w:rsidR="00E815B0" w:rsidRDefault="00E815B0" w:rsidP="00E815B0">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Dos años antes, concretamente el 10 de abril de 1710, se había concedido el vizcondado previo de </w:t>
      </w:r>
      <w:r w:rsidRPr="00E815B0">
        <w:rPr>
          <w:rFonts w:ascii="Arial" w:hAnsi="Arial" w:cs="Arial"/>
          <w:color w:val="202122"/>
        </w:rPr>
        <w:t>Telera</w:t>
      </w:r>
      <w:r>
        <w:rPr>
          <w:rFonts w:ascii="Arial" w:hAnsi="Arial" w:cs="Arial"/>
          <w:color w:val="202122"/>
        </w:rPr>
        <w:t>.</w:t>
      </w:r>
    </w:p>
    <w:p w:rsidR="00E815B0" w:rsidRPr="006950F7" w:rsidRDefault="00E815B0" w:rsidP="00E815B0">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Su denominación hace referencia al llamado Cortijo de Casablanca, en el término de </w:t>
      </w:r>
      <w:r w:rsidRPr="00E815B0">
        <w:rPr>
          <w:rFonts w:ascii="Arial" w:hAnsi="Arial" w:cs="Arial"/>
          <w:color w:val="202122"/>
        </w:rPr>
        <w:t>Vícar</w:t>
      </w:r>
      <w:r>
        <w:rPr>
          <w:rFonts w:ascii="Arial" w:hAnsi="Arial" w:cs="Arial"/>
          <w:color w:val="202122"/>
        </w:rPr>
        <w:t>, </w:t>
      </w:r>
      <w:r w:rsidRPr="00E815B0">
        <w:rPr>
          <w:rFonts w:ascii="Arial" w:hAnsi="Arial" w:cs="Arial"/>
          <w:color w:val="202122"/>
        </w:rPr>
        <w:t>(Almería)</w:t>
      </w:r>
      <w:r>
        <w:rPr>
          <w:rFonts w:ascii="Arial" w:hAnsi="Arial" w:cs="Arial"/>
          <w:color w:val="202122"/>
        </w:rPr>
        <w:t>, pueblo de la </w:t>
      </w:r>
      <w:r w:rsidRPr="00E815B0">
        <w:rPr>
          <w:rFonts w:ascii="Arial" w:hAnsi="Arial" w:cs="Arial"/>
          <w:color w:val="202122"/>
        </w:rPr>
        <w:t>Sierra de Gádor</w:t>
      </w:r>
      <w:r>
        <w:rPr>
          <w:rFonts w:ascii="Arial" w:hAnsi="Arial" w:cs="Arial"/>
          <w:color w:val="202122"/>
        </w:rPr>
        <w:t>, en la comarca del </w:t>
      </w:r>
      <w:r w:rsidRPr="00E815B0">
        <w:rPr>
          <w:rFonts w:ascii="Arial" w:hAnsi="Arial" w:cs="Arial"/>
          <w:color w:val="202122"/>
        </w:rPr>
        <w:t>Poniente Almeriense</w:t>
      </w:r>
      <w:r>
        <w:rPr>
          <w:rFonts w:ascii="Arial" w:hAnsi="Arial" w:cs="Arial"/>
          <w:color w:val="202122"/>
        </w:rPr>
        <w:t>.</w:t>
      </w:r>
    </w:p>
    <w:p w:rsidR="006950F7" w:rsidRPr="006950F7" w:rsidRDefault="006950F7" w:rsidP="006950F7">
      <w:pPr>
        <w:spacing w:line="240" w:lineRule="auto"/>
        <w:rPr>
          <w:rFonts w:ascii="Arial" w:eastAsia="Times New Roman" w:hAnsi="Arial" w:cs="Arial"/>
          <w:b/>
          <w:bCs/>
          <w:sz w:val="24"/>
          <w:szCs w:val="24"/>
          <w:lang w:eastAsia="es-ES"/>
        </w:rPr>
      </w:pPr>
      <w:r w:rsidRPr="006950F7">
        <w:rPr>
          <w:rFonts w:ascii="Arial" w:eastAsia="Times New Roman" w:hAnsi="Arial" w:cs="Arial"/>
          <w:b/>
          <w:bCs/>
          <w:sz w:val="24"/>
          <w:szCs w:val="24"/>
          <w:lang w:eastAsia="es-ES"/>
        </w:rPr>
        <w:t>El Título y su Contexto</w:t>
      </w:r>
    </w:p>
    <w:p w:rsidR="006950F7" w:rsidRPr="006950F7" w:rsidRDefault="006950F7" w:rsidP="006950F7">
      <w:pPr>
        <w:numPr>
          <w:ilvl w:val="0"/>
          <w:numId w:val="1"/>
        </w:numPr>
        <w:spacing w:after="0" w:line="240" w:lineRule="auto"/>
        <w:ind w:left="0"/>
        <w:rPr>
          <w:rFonts w:ascii="Arial" w:eastAsia="Times New Roman" w:hAnsi="Arial" w:cs="Arial"/>
          <w:sz w:val="24"/>
          <w:szCs w:val="24"/>
          <w:lang w:eastAsia="es-ES"/>
        </w:rPr>
      </w:pPr>
      <w:r w:rsidRPr="006950F7">
        <w:rPr>
          <w:rFonts w:ascii="Arial" w:eastAsia="Times New Roman" w:hAnsi="Arial" w:cs="Arial"/>
          <w:bCs/>
          <w:sz w:val="24"/>
          <w:szCs w:val="24"/>
          <w:lang w:eastAsia="es-ES"/>
        </w:rPr>
        <w:t>Creación:</w:t>
      </w:r>
      <w:r w:rsidRPr="006950F7">
        <w:rPr>
          <w:rFonts w:ascii="Arial" w:eastAsia="Times New Roman" w:hAnsi="Arial" w:cs="Arial"/>
          <w:sz w:val="24"/>
          <w:szCs w:val="24"/>
          <w:lang w:eastAsia="es-ES"/>
        </w:rPr>
        <w:t xml:space="preserve"> Otorgado en noviembre de 1712 por Felipe V.</w:t>
      </w:r>
    </w:p>
    <w:p w:rsidR="006950F7" w:rsidRPr="006950F7" w:rsidRDefault="006950F7" w:rsidP="006950F7">
      <w:pPr>
        <w:numPr>
          <w:ilvl w:val="0"/>
          <w:numId w:val="1"/>
        </w:numPr>
        <w:spacing w:after="0" w:line="240" w:lineRule="auto"/>
        <w:ind w:left="0"/>
        <w:rPr>
          <w:rFonts w:ascii="Arial" w:eastAsia="Times New Roman" w:hAnsi="Arial" w:cs="Arial"/>
          <w:sz w:val="24"/>
          <w:szCs w:val="24"/>
          <w:lang w:eastAsia="es-ES"/>
        </w:rPr>
      </w:pPr>
      <w:r w:rsidRPr="006950F7">
        <w:rPr>
          <w:rFonts w:ascii="Arial" w:eastAsia="Times New Roman" w:hAnsi="Arial" w:cs="Arial"/>
          <w:bCs/>
          <w:sz w:val="24"/>
          <w:szCs w:val="24"/>
          <w:lang w:eastAsia="es-ES"/>
        </w:rPr>
        <w:t>Primer titular:</w:t>
      </w:r>
      <w:r w:rsidRPr="006950F7">
        <w:rPr>
          <w:rFonts w:ascii="Arial" w:eastAsia="Times New Roman" w:hAnsi="Arial" w:cs="Arial"/>
          <w:sz w:val="24"/>
          <w:szCs w:val="24"/>
          <w:lang w:eastAsia="es-ES"/>
        </w:rPr>
        <w:t xml:space="preserve"> Luis Maza de Mendoza y Montalvo.</w:t>
      </w:r>
    </w:p>
    <w:p w:rsidR="006950F7" w:rsidRDefault="006950F7" w:rsidP="006950F7">
      <w:pPr>
        <w:numPr>
          <w:ilvl w:val="0"/>
          <w:numId w:val="1"/>
        </w:numPr>
        <w:spacing w:after="0" w:line="240" w:lineRule="auto"/>
        <w:ind w:left="0"/>
        <w:rPr>
          <w:rFonts w:ascii="Arial" w:eastAsia="Times New Roman" w:hAnsi="Arial" w:cs="Arial"/>
          <w:sz w:val="24"/>
          <w:szCs w:val="24"/>
          <w:lang w:eastAsia="es-ES"/>
        </w:rPr>
      </w:pPr>
      <w:r w:rsidRPr="006950F7">
        <w:rPr>
          <w:rFonts w:ascii="Arial" w:eastAsia="Times New Roman" w:hAnsi="Arial" w:cs="Arial"/>
          <w:bCs/>
          <w:sz w:val="24"/>
          <w:szCs w:val="24"/>
          <w:lang w:eastAsia="es-ES"/>
        </w:rPr>
        <w:t>Origen geográfico del título:</w:t>
      </w:r>
      <w:r w:rsidRPr="006950F7">
        <w:rPr>
          <w:rFonts w:ascii="Arial" w:eastAsia="Times New Roman" w:hAnsi="Arial" w:cs="Arial"/>
          <w:sz w:val="24"/>
          <w:szCs w:val="24"/>
          <w:lang w:eastAsia="es-ES"/>
        </w:rPr>
        <w:t xml:space="preserve"> Aunque vinculado a propiedades y denominaciones sureñas (como tierras en Almería), el apellido y la hidalguía dejaron profunda huella en Castilla.</w:t>
      </w:r>
    </w:p>
    <w:p w:rsidR="00E815B0" w:rsidRDefault="00E815B0" w:rsidP="00E815B0">
      <w:pPr>
        <w:spacing w:after="0" w:line="240" w:lineRule="auto"/>
        <w:rPr>
          <w:rFonts w:ascii="Arial" w:eastAsia="Times New Roman" w:hAnsi="Arial" w:cs="Arial"/>
          <w:sz w:val="24"/>
          <w:szCs w:val="24"/>
          <w:lang w:eastAsia="es-ES"/>
        </w:rPr>
      </w:pPr>
    </w:p>
    <w:p w:rsidR="00E815B0" w:rsidRPr="00F50987" w:rsidRDefault="00E815B0" w:rsidP="00E815B0">
      <w:pPr>
        <w:shd w:val="clear" w:color="auto" w:fill="FFFFFF"/>
        <w:spacing w:after="60" w:line="240" w:lineRule="auto"/>
        <w:outlineLvl w:val="1"/>
        <w:rPr>
          <w:rFonts w:ascii="Arial" w:eastAsia="Times New Roman" w:hAnsi="Arial" w:cs="Arial"/>
          <w:b/>
          <w:bCs/>
          <w:color w:val="101418"/>
          <w:sz w:val="24"/>
          <w:szCs w:val="24"/>
          <w:lang w:eastAsia="es-ES"/>
        </w:rPr>
      </w:pPr>
      <w:r w:rsidRPr="00F50987">
        <w:rPr>
          <w:rFonts w:ascii="Arial" w:eastAsia="Times New Roman" w:hAnsi="Arial" w:cs="Arial"/>
          <w:b/>
          <w:bCs/>
          <w:color w:val="101418"/>
          <w:sz w:val="24"/>
          <w:szCs w:val="24"/>
          <w:lang w:eastAsia="es-ES"/>
        </w:rPr>
        <w:t>Antecedentes históricos</w:t>
      </w:r>
    </w:p>
    <w:p w:rsidR="00E815B0" w:rsidRPr="00E815B0" w:rsidRDefault="00E815B0" w:rsidP="00E815B0">
      <w:pPr>
        <w:shd w:val="clear" w:color="auto" w:fill="FFFFFF"/>
        <w:spacing w:before="120" w:after="240" w:line="240" w:lineRule="auto"/>
        <w:rPr>
          <w:rFonts w:ascii="Arial" w:eastAsia="Times New Roman" w:hAnsi="Arial" w:cs="Arial"/>
          <w:color w:val="202122"/>
          <w:sz w:val="24"/>
          <w:szCs w:val="24"/>
          <w:lang w:eastAsia="es-ES"/>
        </w:rPr>
      </w:pPr>
      <w:r w:rsidRPr="00E815B0">
        <w:rPr>
          <w:rFonts w:ascii="Arial" w:eastAsia="Times New Roman" w:hAnsi="Arial" w:cs="Arial"/>
          <w:color w:val="202122"/>
          <w:sz w:val="24"/>
          <w:szCs w:val="24"/>
          <w:lang w:eastAsia="es-ES"/>
        </w:rPr>
        <w:t>El 7 de febrero de 1505, se firma en</w:t>
      </w:r>
      <w:r w:rsidR="009C1769">
        <w:rPr>
          <w:rFonts w:ascii="Arial" w:eastAsia="Times New Roman" w:hAnsi="Arial" w:cs="Arial"/>
          <w:color w:val="202122"/>
          <w:sz w:val="24"/>
          <w:szCs w:val="24"/>
          <w:lang w:eastAsia="es-ES"/>
        </w:rPr>
        <w:t xml:space="preserve"> Toro</w:t>
      </w:r>
      <w:r w:rsidRPr="00E815B0">
        <w:rPr>
          <w:rFonts w:ascii="Arial" w:eastAsia="Times New Roman" w:hAnsi="Arial" w:cs="Arial"/>
          <w:color w:val="202122"/>
          <w:sz w:val="24"/>
          <w:szCs w:val="24"/>
          <w:lang w:eastAsia="es-ES"/>
        </w:rPr>
        <w:t>,</w:t>
      </w:r>
      <w:r w:rsidR="009C1769">
        <w:rPr>
          <w:rFonts w:ascii="Arial" w:eastAsia="Times New Roman" w:hAnsi="Arial" w:cs="Arial"/>
          <w:color w:val="202122"/>
          <w:sz w:val="24"/>
          <w:szCs w:val="24"/>
          <w:lang w:eastAsia="es-ES"/>
        </w:rPr>
        <w:t xml:space="preserve"> (Zamora)</w:t>
      </w:r>
      <w:r w:rsidRPr="00E815B0">
        <w:rPr>
          <w:rFonts w:ascii="Arial" w:eastAsia="Times New Roman" w:hAnsi="Arial" w:cs="Arial"/>
          <w:color w:val="202122"/>
          <w:sz w:val="24"/>
          <w:szCs w:val="24"/>
          <w:lang w:eastAsia="es-ES"/>
        </w:rPr>
        <w:t>, una Real Cédula entre la Reina</w:t>
      </w:r>
      <w:r w:rsidR="009C1769">
        <w:rPr>
          <w:rFonts w:ascii="Arial" w:eastAsia="Times New Roman" w:hAnsi="Arial" w:cs="Arial"/>
          <w:color w:val="202122"/>
          <w:sz w:val="24"/>
          <w:szCs w:val="24"/>
          <w:lang w:eastAsia="es-ES"/>
        </w:rPr>
        <w:t xml:space="preserve"> Juana de Castilla</w:t>
      </w:r>
      <w:r w:rsidR="009C1769" w:rsidRPr="00E815B0">
        <w:rPr>
          <w:rFonts w:ascii="Arial" w:eastAsia="Times New Roman" w:hAnsi="Arial" w:cs="Arial"/>
          <w:color w:val="202122"/>
          <w:sz w:val="24"/>
          <w:szCs w:val="24"/>
          <w:lang w:eastAsia="es-ES"/>
        </w:rPr>
        <w:t xml:space="preserve"> </w:t>
      </w:r>
      <w:r w:rsidRPr="00E815B0">
        <w:rPr>
          <w:rFonts w:ascii="Arial" w:eastAsia="Times New Roman" w:hAnsi="Arial" w:cs="Arial"/>
          <w:color w:val="202122"/>
          <w:sz w:val="24"/>
          <w:szCs w:val="24"/>
          <w:lang w:eastAsia="es-ES"/>
        </w:rPr>
        <w:t xml:space="preserve">y el bachiller Jorge de la Torre, por la que </w:t>
      </w:r>
      <w:proofErr w:type="gramStart"/>
      <w:r w:rsidRPr="00E815B0">
        <w:rPr>
          <w:rFonts w:ascii="Arial" w:eastAsia="Times New Roman" w:hAnsi="Arial" w:cs="Arial"/>
          <w:color w:val="202122"/>
          <w:sz w:val="24"/>
          <w:szCs w:val="24"/>
          <w:lang w:eastAsia="es-ES"/>
        </w:rPr>
        <w:t>este compra</w:t>
      </w:r>
      <w:proofErr w:type="gramEnd"/>
      <w:r w:rsidRPr="00E815B0">
        <w:rPr>
          <w:rFonts w:ascii="Arial" w:eastAsia="Times New Roman" w:hAnsi="Arial" w:cs="Arial"/>
          <w:color w:val="202122"/>
          <w:sz w:val="24"/>
          <w:szCs w:val="24"/>
          <w:lang w:eastAsia="es-ES"/>
        </w:rPr>
        <w:t xml:space="preserve">, por 180.000 </w:t>
      </w:r>
      <w:proofErr w:type="spellStart"/>
      <w:r w:rsidRPr="00E815B0">
        <w:rPr>
          <w:rFonts w:ascii="Arial" w:eastAsia="Times New Roman" w:hAnsi="Arial" w:cs="Arial"/>
          <w:color w:val="202122"/>
          <w:sz w:val="24"/>
          <w:szCs w:val="24"/>
          <w:lang w:eastAsia="es-ES"/>
        </w:rPr>
        <w:t>mrs.</w:t>
      </w:r>
      <w:proofErr w:type="spellEnd"/>
      <w:r w:rsidRPr="00E815B0">
        <w:rPr>
          <w:rFonts w:ascii="Arial" w:eastAsia="Times New Roman" w:hAnsi="Arial" w:cs="Arial"/>
          <w:color w:val="202122"/>
          <w:sz w:val="24"/>
          <w:szCs w:val="24"/>
          <w:lang w:eastAsia="es-ES"/>
        </w:rPr>
        <w:t>, los lugares de Vícar y Félix, en Almería.</w:t>
      </w:r>
    </w:p>
    <w:p w:rsidR="00E815B0" w:rsidRPr="00E815B0" w:rsidRDefault="00E815B0" w:rsidP="00E815B0">
      <w:pPr>
        <w:shd w:val="clear" w:color="auto" w:fill="FFFFFF"/>
        <w:spacing w:before="120" w:after="240" w:line="240" w:lineRule="auto"/>
        <w:rPr>
          <w:rFonts w:ascii="Arial" w:eastAsia="Times New Roman" w:hAnsi="Arial" w:cs="Arial"/>
          <w:color w:val="202122"/>
          <w:sz w:val="24"/>
          <w:szCs w:val="24"/>
          <w:lang w:eastAsia="es-ES"/>
        </w:rPr>
      </w:pPr>
      <w:r w:rsidRPr="00E815B0">
        <w:rPr>
          <w:rFonts w:ascii="Arial" w:eastAsia="Times New Roman" w:hAnsi="Arial" w:cs="Arial"/>
          <w:color w:val="202122"/>
          <w:sz w:val="24"/>
          <w:szCs w:val="24"/>
          <w:lang w:eastAsia="es-ES"/>
        </w:rPr>
        <w:t xml:space="preserve">Jorge de la Torre, traspasa el 23 de mayo de 1505 la propiedad de Félix y Vícar a Alonso Núñez y su esposa Leonor de Mendoza. Al morir Alonso Núñez sin sucesores, hereda su hermano Francisco Núñez que había casado con Catalina de </w:t>
      </w:r>
      <w:proofErr w:type="spellStart"/>
      <w:r w:rsidRPr="00E815B0">
        <w:rPr>
          <w:rFonts w:ascii="Arial" w:eastAsia="Times New Roman" w:hAnsi="Arial" w:cs="Arial"/>
          <w:color w:val="202122"/>
          <w:sz w:val="24"/>
          <w:szCs w:val="24"/>
          <w:lang w:eastAsia="es-ES"/>
        </w:rPr>
        <w:t>Valdívia</w:t>
      </w:r>
      <w:proofErr w:type="spellEnd"/>
      <w:r w:rsidRPr="00E815B0">
        <w:rPr>
          <w:rFonts w:ascii="Arial" w:eastAsia="Times New Roman" w:hAnsi="Arial" w:cs="Arial"/>
          <w:color w:val="202122"/>
          <w:sz w:val="24"/>
          <w:szCs w:val="24"/>
          <w:lang w:eastAsia="es-ES"/>
        </w:rPr>
        <w:t>.</w:t>
      </w:r>
    </w:p>
    <w:p w:rsidR="00E815B0" w:rsidRPr="00E815B0" w:rsidRDefault="00E815B0" w:rsidP="00E815B0">
      <w:pPr>
        <w:shd w:val="clear" w:color="auto" w:fill="FFFFFF"/>
        <w:spacing w:before="120" w:after="240" w:line="240" w:lineRule="auto"/>
        <w:rPr>
          <w:rFonts w:ascii="Arial" w:eastAsia="Times New Roman" w:hAnsi="Arial" w:cs="Arial"/>
          <w:color w:val="202122"/>
          <w:sz w:val="24"/>
          <w:szCs w:val="24"/>
          <w:lang w:eastAsia="es-ES"/>
        </w:rPr>
      </w:pPr>
      <w:r w:rsidRPr="00E815B0">
        <w:rPr>
          <w:rFonts w:ascii="Arial" w:eastAsia="Times New Roman" w:hAnsi="Arial" w:cs="Arial"/>
          <w:color w:val="202122"/>
          <w:sz w:val="24"/>
          <w:szCs w:val="24"/>
          <w:lang w:eastAsia="es-ES"/>
        </w:rPr>
        <w:t xml:space="preserve">En 1562, fallece Francisco Núñez y le sucede su hijo Alonso Núñez de </w:t>
      </w:r>
      <w:proofErr w:type="spellStart"/>
      <w:r w:rsidRPr="00E815B0">
        <w:rPr>
          <w:rFonts w:ascii="Arial" w:eastAsia="Times New Roman" w:hAnsi="Arial" w:cs="Arial"/>
          <w:color w:val="202122"/>
          <w:sz w:val="24"/>
          <w:szCs w:val="24"/>
          <w:lang w:eastAsia="es-ES"/>
        </w:rPr>
        <w:t>Valdívia</w:t>
      </w:r>
      <w:proofErr w:type="spellEnd"/>
      <w:r w:rsidRPr="00E815B0">
        <w:rPr>
          <w:rFonts w:ascii="Arial" w:eastAsia="Times New Roman" w:hAnsi="Arial" w:cs="Arial"/>
          <w:color w:val="202122"/>
          <w:sz w:val="24"/>
          <w:szCs w:val="24"/>
          <w:lang w:eastAsia="es-ES"/>
        </w:rPr>
        <w:t>, que funda Mayorazgo sobre estas tierras.</w:t>
      </w:r>
    </w:p>
    <w:p w:rsidR="00E815B0" w:rsidRPr="00E815B0" w:rsidRDefault="00E815B0" w:rsidP="00E815B0">
      <w:pPr>
        <w:shd w:val="clear" w:color="auto" w:fill="FFFFFF"/>
        <w:spacing w:before="120" w:after="240" w:line="240" w:lineRule="auto"/>
        <w:rPr>
          <w:rFonts w:ascii="Arial" w:eastAsia="Times New Roman" w:hAnsi="Arial" w:cs="Arial"/>
          <w:color w:val="202122"/>
          <w:sz w:val="24"/>
          <w:szCs w:val="24"/>
          <w:lang w:eastAsia="es-ES"/>
        </w:rPr>
      </w:pPr>
      <w:r w:rsidRPr="00E815B0">
        <w:rPr>
          <w:rFonts w:ascii="Arial" w:eastAsia="Times New Roman" w:hAnsi="Arial" w:cs="Arial"/>
          <w:color w:val="202122"/>
          <w:sz w:val="24"/>
          <w:szCs w:val="24"/>
          <w:lang w:eastAsia="es-ES"/>
        </w:rPr>
        <w:t>En 1570, salen de Castilla los moriscos y en 1571, pasan las tierras abandonadas a poder de</w:t>
      </w:r>
      <w:r w:rsidR="009C1769">
        <w:rPr>
          <w:rFonts w:ascii="Arial" w:eastAsia="Times New Roman" w:hAnsi="Arial" w:cs="Arial"/>
          <w:color w:val="202122"/>
          <w:sz w:val="24"/>
          <w:szCs w:val="24"/>
          <w:lang w:eastAsia="es-ES"/>
        </w:rPr>
        <w:t xml:space="preserve"> Felipe II</w:t>
      </w:r>
      <w:r w:rsidRPr="00E815B0">
        <w:rPr>
          <w:rFonts w:ascii="Arial" w:eastAsia="Times New Roman" w:hAnsi="Arial" w:cs="Arial"/>
          <w:color w:val="202122"/>
          <w:sz w:val="24"/>
          <w:szCs w:val="24"/>
          <w:lang w:eastAsia="es-ES"/>
        </w:rPr>
        <w:t>, quedando los lugares de Enix y Vícar despoblados y algo poblado el lugar de Félix.</w:t>
      </w:r>
    </w:p>
    <w:p w:rsidR="00E815B0" w:rsidRPr="00E815B0" w:rsidRDefault="00E815B0" w:rsidP="00E815B0">
      <w:pPr>
        <w:shd w:val="clear" w:color="auto" w:fill="FFFFFF"/>
        <w:spacing w:before="120" w:after="240" w:line="240" w:lineRule="auto"/>
        <w:rPr>
          <w:rFonts w:ascii="Arial" w:eastAsia="Times New Roman" w:hAnsi="Arial" w:cs="Arial"/>
          <w:color w:val="202122"/>
          <w:sz w:val="24"/>
          <w:szCs w:val="24"/>
          <w:lang w:eastAsia="es-ES"/>
        </w:rPr>
      </w:pPr>
      <w:r w:rsidRPr="00E815B0">
        <w:rPr>
          <w:rFonts w:ascii="Arial" w:eastAsia="Times New Roman" w:hAnsi="Arial" w:cs="Arial"/>
          <w:color w:val="202122"/>
          <w:sz w:val="24"/>
          <w:szCs w:val="24"/>
          <w:lang w:eastAsia="es-ES"/>
        </w:rPr>
        <w:t>El Cortijo de Casablanca formaba parte del Mayorazgo que, en el siglo </w:t>
      </w:r>
      <w:r w:rsidRPr="00E815B0">
        <w:rPr>
          <w:rFonts w:ascii="Arial" w:eastAsia="Times New Roman" w:hAnsi="Arial" w:cs="Arial"/>
          <w:smallCaps/>
          <w:color w:val="202122"/>
          <w:sz w:val="24"/>
          <w:szCs w:val="24"/>
          <w:lang w:eastAsia="es-ES"/>
        </w:rPr>
        <w:t>XVI</w:t>
      </w:r>
      <w:r w:rsidRPr="00E815B0">
        <w:rPr>
          <w:rFonts w:ascii="Arial" w:eastAsia="Times New Roman" w:hAnsi="Arial" w:cs="Arial"/>
          <w:color w:val="202122"/>
          <w:sz w:val="24"/>
          <w:szCs w:val="24"/>
          <w:lang w:eastAsia="es-ES"/>
        </w:rPr>
        <w:t>, fundaron Alonso Núñez de Valdivia y su mujer Leonor de Mendoza, con las tierras que poseían en Vícar y las que recibieron de los reyes de Castilla, y que en su día habían abandonado sus antiguos propietarios, los moriscos que regresaron a África, y que fueron repoblando con nuevos aparceros.</w:t>
      </w:r>
    </w:p>
    <w:p w:rsidR="00E815B0" w:rsidRPr="00E815B0" w:rsidRDefault="00E815B0" w:rsidP="00E815B0">
      <w:pPr>
        <w:shd w:val="clear" w:color="auto" w:fill="FFFFFF"/>
        <w:spacing w:before="120" w:after="240" w:line="240" w:lineRule="auto"/>
        <w:rPr>
          <w:rFonts w:ascii="Arial" w:eastAsia="Times New Roman" w:hAnsi="Arial" w:cs="Arial"/>
          <w:color w:val="202122"/>
          <w:sz w:val="24"/>
          <w:szCs w:val="24"/>
          <w:lang w:eastAsia="es-ES"/>
        </w:rPr>
      </w:pPr>
      <w:r w:rsidRPr="00E815B0">
        <w:rPr>
          <w:rFonts w:ascii="Arial" w:eastAsia="Times New Roman" w:hAnsi="Arial" w:cs="Arial"/>
          <w:color w:val="202122"/>
          <w:sz w:val="24"/>
          <w:szCs w:val="24"/>
          <w:lang w:eastAsia="es-ES"/>
        </w:rPr>
        <w:t xml:space="preserve">Leonor de Mendoza muere el 8 de marzo de 1642 y le sucede en el mayorazgo su hijo Luis Maza de Mendoza y Núñez de </w:t>
      </w:r>
      <w:proofErr w:type="spellStart"/>
      <w:r w:rsidRPr="00E815B0">
        <w:rPr>
          <w:rFonts w:ascii="Arial" w:eastAsia="Times New Roman" w:hAnsi="Arial" w:cs="Arial"/>
          <w:color w:val="202122"/>
          <w:sz w:val="24"/>
          <w:szCs w:val="24"/>
          <w:lang w:eastAsia="es-ES"/>
        </w:rPr>
        <w:t>Valdívia</w:t>
      </w:r>
      <w:proofErr w:type="spellEnd"/>
      <w:r w:rsidRPr="00E815B0">
        <w:rPr>
          <w:rFonts w:ascii="Arial" w:eastAsia="Times New Roman" w:hAnsi="Arial" w:cs="Arial"/>
          <w:color w:val="202122"/>
          <w:sz w:val="24"/>
          <w:szCs w:val="24"/>
          <w:lang w:eastAsia="es-ES"/>
        </w:rPr>
        <w:t xml:space="preserve">, que murió joven en 1645, por lo que le sucedió su hermano Juan Maza de Mendoza, que había casado con Inés María de Montalvo y Arévalo de Zuazo, padres del primer marqués de </w:t>
      </w:r>
      <w:r w:rsidRPr="00E815B0">
        <w:rPr>
          <w:rFonts w:ascii="Arial" w:eastAsia="Times New Roman" w:hAnsi="Arial" w:cs="Arial"/>
          <w:color w:val="202122"/>
          <w:sz w:val="24"/>
          <w:szCs w:val="24"/>
          <w:lang w:eastAsia="es-ES"/>
        </w:rPr>
        <w:lastRenderedPageBreak/>
        <w:t>Casablanca, Luis Maza de Mendoza y Montalvo, que había nacido en Granada el año 1613.</w:t>
      </w:r>
    </w:p>
    <w:p w:rsidR="00E815B0" w:rsidRPr="00E815B0" w:rsidRDefault="00E815B0" w:rsidP="00E815B0">
      <w:pPr>
        <w:shd w:val="clear" w:color="auto" w:fill="FFFFFF"/>
        <w:spacing w:before="120" w:after="240" w:line="240" w:lineRule="auto"/>
        <w:rPr>
          <w:rFonts w:ascii="Arial" w:eastAsia="Times New Roman" w:hAnsi="Arial" w:cs="Arial"/>
          <w:color w:val="202122"/>
          <w:sz w:val="24"/>
          <w:szCs w:val="24"/>
          <w:lang w:eastAsia="es-ES"/>
        </w:rPr>
      </w:pPr>
      <w:r w:rsidRPr="00E815B0">
        <w:rPr>
          <w:rFonts w:ascii="Arial" w:eastAsia="Times New Roman" w:hAnsi="Arial" w:cs="Arial"/>
          <w:color w:val="202122"/>
          <w:sz w:val="24"/>
          <w:szCs w:val="24"/>
          <w:lang w:eastAsia="es-ES"/>
        </w:rPr>
        <w:t>Los marqueses de Casablanca estuvieron siempre muy vinculados con la ciudad de Granada, donde residían habitualmente, aunque poseían un palacio en Vícar (Almería) y otro en Medinaceli (Soria).</w:t>
      </w:r>
    </w:p>
    <w:p w:rsidR="00E815B0" w:rsidRPr="00E815B0" w:rsidRDefault="00E815B0" w:rsidP="00E815B0">
      <w:pPr>
        <w:shd w:val="clear" w:color="auto" w:fill="FFFFFF"/>
        <w:spacing w:before="120" w:after="240" w:line="240" w:lineRule="auto"/>
        <w:rPr>
          <w:rFonts w:ascii="Arial" w:eastAsia="Times New Roman" w:hAnsi="Arial" w:cs="Arial"/>
          <w:color w:val="202122"/>
          <w:sz w:val="24"/>
          <w:szCs w:val="24"/>
          <w:lang w:eastAsia="es-ES"/>
        </w:rPr>
      </w:pPr>
      <w:r w:rsidRPr="00E815B0">
        <w:rPr>
          <w:rFonts w:ascii="Arial" w:eastAsia="Times New Roman" w:hAnsi="Arial" w:cs="Arial"/>
          <w:color w:val="202122"/>
          <w:sz w:val="24"/>
          <w:szCs w:val="24"/>
          <w:lang w:eastAsia="es-ES"/>
        </w:rPr>
        <w:t>El Cortijo de Casablanca, que había dado nombre al marquesado, fue adquirido por Blas Fernández, regidor del Concejo de Almería y administrador de las tierras que el marqués de Casablanca tenía en Vícar y en el Campo de Dalías.</w:t>
      </w:r>
    </w:p>
    <w:p w:rsidR="006950F7" w:rsidRPr="006950F7" w:rsidRDefault="006950F7" w:rsidP="006950F7">
      <w:pPr>
        <w:spacing w:after="0" w:line="240" w:lineRule="auto"/>
        <w:rPr>
          <w:rFonts w:ascii="Arial" w:eastAsia="Times New Roman" w:hAnsi="Arial" w:cs="Arial"/>
          <w:sz w:val="24"/>
          <w:szCs w:val="24"/>
          <w:lang w:eastAsia="es-ES"/>
        </w:rPr>
      </w:pPr>
    </w:p>
    <w:p w:rsidR="006950F7" w:rsidRPr="006950F7" w:rsidRDefault="006950F7" w:rsidP="006950F7">
      <w:pPr>
        <w:spacing w:line="240" w:lineRule="auto"/>
        <w:rPr>
          <w:rFonts w:ascii="Arial" w:eastAsia="Times New Roman" w:hAnsi="Arial" w:cs="Arial"/>
          <w:b/>
          <w:bCs/>
          <w:sz w:val="24"/>
          <w:szCs w:val="24"/>
          <w:lang w:eastAsia="es-ES"/>
        </w:rPr>
      </w:pPr>
      <w:r w:rsidRPr="006950F7">
        <w:rPr>
          <w:rFonts w:ascii="Arial" w:eastAsia="Times New Roman" w:hAnsi="Arial" w:cs="Arial"/>
          <w:b/>
          <w:bCs/>
          <w:sz w:val="24"/>
          <w:szCs w:val="24"/>
          <w:lang w:eastAsia="es-ES"/>
        </w:rPr>
        <w:t>El Palacio del Marqués de Casablanca en Medinaceli</w:t>
      </w:r>
    </w:p>
    <w:p w:rsidR="006950F7" w:rsidRPr="006950F7" w:rsidRDefault="006950F7" w:rsidP="006950F7">
      <w:pPr>
        <w:numPr>
          <w:ilvl w:val="0"/>
          <w:numId w:val="2"/>
        </w:numPr>
        <w:spacing w:after="0" w:line="240" w:lineRule="auto"/>
        <w:ind w:left="0"/>
        <w:rPr>
          <w:rFonts w:ascii="Arial" w:eastAsia="Times New Roman" w:hAnsi="Arial" w:cs="Arial"/>
          <w:sz w:val="24"/>
          <w:szCs w:val="24"/>
          <w:lang w:eastAsia="es-ES"/>
        </w:rPr>
      </w:pPr>
      <w:r w:rsidRPr="006950F7">
        <w:rPr>
          <w:rFonts w:ascii="Arial" w:eastAsia="Times New Roman" w:hAnsi="Arial" w:cs="Arial"/>
          <w:bCs/>
          <w:sz w:val="24"/>
          <w:szCs w:val="24"/>
          <w:lang w:eastAsia="es-ES"/>
        </w:rPr>
        <w:t>Ubicación:</w:t>
      </w:r>
      <w:r w:rsidRPr="006950F7">
        <w:rPr>
          <w:rFonts w:ascii="Arial" w:eastAsia="Times New Roman" w:hAnsi="Arial" w:cs="Arial"/>
          <w:sz w:val="24"/>
          <w:szCs w:val="24"/>
          <w:lang w:eastAsia="es-ES"/>
        </w:rPr>
        <w:t xml:space="preserve"> Situado en el núcleo histórico de Medinaceli, cerca de la zona monumental.</w:t>
      </w:r>
    </w:p>
    <w:p w:rsidR="006950F7" w:rsidRPr="006950F7" w:rsidRDefault="006950F7" w:rsidP="006950F7">
      <w:pPr>
        <w:numPr>
          <w:ilvl w:val="0"/>
          <w:numId w:val="2"/>
        </w:numPr>
        <w:spacing w:after="0" w:line="240" w:lineRule="auto"/>
        <w:ind w:left="0"/>
        <w:rPr>
          <w:rFonts w:ascii="Arial" w:eastAsia="Times New Roman" w:hAnsi="Arial" w:cs="Arial"/>
          <w:sz w:val="24"/>
          <w:szCs w:val="24"/>
          <w:lang w:eastAsia="es-ES"/>
        </w:rPr>
      </w:pPr>
      <w:r w:rsidRPr="006950F7">
        <w:rPr>
          <w:rFonts w:ascii="Arial" w:eastAsia="Times New Roman" w:hAnsi="Arial" w:cs="Arial"/>
          <w:bCs/>
          <w:sz w:val="24"/>
          <w:szCs w:val="24"/>
          <w:lang w:eastAsia="es-ES"/>
        </w:rPr>
        <w:t>Construcción:</w:t>
      </w:r>
      <w:r w:rsidRPr="006950F7">
        <w:rPr>
          <w:rFonts w:ascii="Arial" w:eastAsia="Times New Roman" w:hAnsi="Arial" w:cs="Arial"/>
          <w:sz w:val="24"/>
          <w:szCs w:val="24"/>
          <w:lang w:eastAsia="es-ES"/>
        </w:rPr>
        <w:t xml:space="preserve"> Edificado a finales del siglo XVII.</w:t>
      </w:r>
    </w:p>
    <w:p w:rsidR="006950F7" w:rsidRPr="006950F7" w:rsidRDefault="006950F7" w:rsidP="006950F7">
      <w:pPr>
        <w:numPr>
          <w:ilvl w:val="0"/>
          <w:numId w:val="2"/>
        </w:numPr>
        <w:spacing w:after="0" w:line="240" w:lineRule="auto"/>
        <w:ind w:left="0"/>
        <w:rPr>
          <w:rFonts w:ascii="Arial" w:eastAsia="Times New Roman" w:hAnsi="Arial" w:cs="Arial"/>
          <w:sz w:val="24"/>
          <w:szCs w:val="24"/>
          <w:lang w:eastAsia="es-ES"/>
        </w:rPr>
      </w:pPr>
      <w:r w:rsidRPr="006950F7">
        <w:rPr>
          <w:rFonts w:ascii="Arial" w:eastAsia="Times New Roman" w:hAnsi="Arial" w:cs="Arial"/>
          <w:bCs/>
          <w:sz w:val="24"/>
          <w:szCs w:val="24"/>
          <w:lang w:eastAsia="es-ES"/>
        </w:rPr>
        <w:t>Arquitectura:</w:t>
      </w:r>
      <w:r w:rsidRPr="006950F7">
        <w:rPr>
          <w:rFonts w:ascii="Arial" w:eastAsia="Times New Roman" w:hAnsi="Arial" w:cs="Arial"/>
          <w:sz w:val="24"/>
          <w:szCs w:val="24"/>
          <w:lang w:eastAsia="es-ES"/>
        </w:rPr>
        <w:t xml:space="preserve"> Casona de volumen sobrio y elegante aire señorial.</w:t>
      </w:r>
    </w:p>
    <w:p w:rsidR="006950F7" w:rsidRPr="006950F7" w:rsidRDefault="006950F7" w:rsidP="006950F7">
      <w:pPr>
        <w:numPr>
          <w:ilvl w:val="0"/>
          <w:numId w:val="2"/>
        </w:numPr>
        <w:spacing w:after="0" w:line="240" w:lineRule="auto"/>
        <w:ind w:left="0"/>
        <w:rPr>
          <w:rFonts w:ascii="Arial" w:eastAsia="Times New Roman" w:hAnsi="Arial" w:cs="Arial"/>
          <w:sz w:val="24"/>
          <w:szCs w:val="24"/>
          <w:lang w:eastAsia="es-ES"/>
        </w:rPr>
      </w:pPr>
      <w:r w:rsidRPr="006950F7">
        <w:rPr>
          <w:rFonts w:ascii="Arial" w:eastAsia="Times New Roman" w:hAnsi="Arial" w:cs="Arial"/>
          <w:bCs/>
          <w:sz w:val="24"/>
          <w:szCs w:val="24"/>
          <w:lang w:eastAsia="es-ES"/>
        </w:rPr>
        <w:t>Elementos distintivos:</w:t>
      </w:r>
      <w:r w:rsidRPr="006950F7">
        <w:rPr>
          <w:rFonts w:ascii="Arial" w:eastAsia="Times New Roman" w:hAnsi="Arial" w:cs="Arial"/>
          <w:sz w:val="24"/>
          <w:szCs w:val="24"/>
          <w:lang w:eastAsia="es-ES"/>
        </w:rPr>
        <w:t xml:space="preserve"> Destacan su fachada con el escudo o blasón nobiliario del marquesado y los característicos balcones de forja tradicional.</w:t>
      </w:r>
    </w:p>
    <w:p w:rsidR="006950F7" w:rsidRDefault="006950F7">
      <w:pPr>
        <w:rPr>
          <w:rFonts w:ascii="Arial" w:hAnsi="Arial" w:cs="Arial"/>
          <w:sz w:val="24"/>
          <w:szCs w:val="24"/>
        </w:rPr>
      </w:pPr>
    </w:p>
    <w:p w:rsidR="009C1769" w:rsidRPr="009C1769" w:rsidRDefault="009C1769" w:rsidP="009C1769">
      <w:pPr>
        <w:shd w:val="clear" w:color="auto" w:fill="FFFFFF"/>
        <w:spacing w:after="60" w:line="240" w:lineRule="auto"/>
        <w:outlineLvl w:val="1"/>
        <w:rPr>
          <w:rFonts w:ascii="Georgia" w:eastAsia="Times New Roman" w:hAnsi="Georgia" w:cs="Times New Roman"/>
          <w:b/>
          <w:bCs/>
          <w:color w:val="101418"/>
          <w:sz w:val="24"/>
          <w:szCs w:val="24"/>
          <w:lang w:eastAsia="es-ES"/>
        </w:rPr>
      </w:pPr>
      <w:r w:rsidRPr="009C1769">
        <w:rPr>
          <w:rFonts w:ascii="Georgia" w:eastAsia="Times New Roman" w:hAnsi="Georgia" w:cs="Times New Roman"/>
          <w:b/>
          <w:bCs/>
          <w:color w:val="101418"/>
          <w:sz w:val="24"/>
          <w:szCs w:val="24"/>
          <w:lang w:eastAsia="es-ES"/>
        </w:rPr>
        <w:t>Marqueses de Casablanca</w:t>
      </w:r>
    </w:p>
    <w:tbl>
      <w:tblPr>
        <w:tblW w:w="0" w:type="auto"/>
        <w:tblBorders>
          <w:top w:val="single" w:sz="4" w:space="0" w:color="A2A9B1"/>
          <w:left w:val="single" w:sz="4" w:space="0" w:color="A2A9B1"/>
          <w:bottom w:val="single" w:sz="4" w:space="0" w:color="A2A9B1"/>
          <w:right w:val="single" w:sz="4"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579"/>
        <w:gridCol w:w="5515"/>
        <w:gridCol w:w="1901"/>
      </w:tblGrid>
      <w:tr w:rsidR="009C1769" w:rsidRPr="009C1769" w:rsidTr="009C1769">
        <w:tc>
          <w:tcPr>
            <w:tcW w:w="0" w:type="auto"/>
            <w:tcBorders>
              <w:top w:val="single" w:sz="4" w:space="0" w:color="A2A9B1"/>
              <w:left w:val="single" w:sz="4" w:space="0" w:color="A2A9B1"/>
              <w:bottom w:val="single" w:sz="4" w:space="0" w:color="A2A9B1"/>
              <w:right w:val="single" w:sz="4" w:space="0" w:color="A2A9B1"/>
            </w:tcBorders>
            <w:shd w:val="clear" w:color="auto" w:fill="EAECF0"/>
            <w:tcMar>
              <w:top w:w="48" w:type="dxa"/>
              <w:left w:w="96" w:type="dxa"/>
              <w:bottom w:w="48" w:type="dxa"/>
              <w:right w:w="96" w:type="dxa"/>
            </w:tcMar>
            <w:vAlign w:val="center"/>
            <w:hideMark/>
          </w:tcPr>
          <w:p w:rsidR="009C1769" w:rsidRPr="009C1769" w:rsidRDefault="009C1769" w:rsidP="009C1769">
            <w:pPr>
              <w:spacing w:after="0" w:line="240" w:lineRule="auto"/>
              <w:rPr>
                <w:rFonts w:ascii="Georgia" w:eastAsia="Times New Roman" w:hAnsi="Georgia" w:cs="Times New Roman"/>
                <w:color w:val="101418"/>
                <w:sz w:val="24"/>
                <w:szCs w:val="24"/>
                <w:lang w:eastAsia="es-ES"/>
              </w:rPr>
            </w:pPr>
          </w:p>
        </w:tc>
        <w:tc>
          <w:tcPr>
            <w:tcW w:w="0" w:type="auto"/>
            <w:tcBorders>
              <w:top w:val="single" w:sz="4" w:space="0" w:color="A2A9B1"/>
              <w:left w:val="single" w:sz="4" w:space="0" w:color="A2A9B1"/>
              <w:bottom w:val="single" w:sz="4" w:space="0" w:color="A2A9B1"/>
              <w:right w:val="single" w:sz="4" w:space="0" w:color="A2A9B1"/>
            </w:tcBorders>
            <w:shd w:val="clear" w:color="auto" w:fill="EAECF0"/>
            <w:tcMar>
              <w:top w:w="48" w:type="dxa"/>
              <w:left w:w="96" w:type="dxa"/>
              <w:bottom w:w="48" w:type="dxa"/>
              <w:right w:w="96" w:type="dxa"/>
            </w:tcMar>
            <w:vAlign w:val="center"/>
            <w:hideMark/>
          </w:tcPr>
          <w:p w:rsidR="009C1769" w:rsidRPr="009C1769" w:rsidRDefault="009C1769" w:rsidP="009C1769">
            <w:pPr>
              <w:spacing w:before="240" w:after="240" w:line="240" w:lineRule="auto"/>
              <w:jc w:val="center"/>
              <w:rPr>
                <w:rFonts w:ascii="Arial" w:eastAsia="Times New Roman" w:hAnsi="Arial" w:cs="Arial"/>
                <w:b/>
                <w:bCs/>
                <w:color w:val="202122"/>
                <w:sz w:val="24"/>
                <w:szCs w:val="24"/>
                <w:lang w:eastAsia="es-ES"/>
              </w:rPr>
            </w:pPr>
            <w:r w:rsidRPr="009C1769">
              <w:rPr>
                <w:rFonts w:ascii="Arial" w:eastAsia="Times New Roman" w:hAnsi="Arial" w:cs="Arial"/>
                <w:b/>
                <w:bCs/>
                <w:color w:val="202122"/>
                <w:sz w:val="24"/>
                <w:szCs w:val="24"/>
                <w:lang w:eastAsia="es-ES"/>
              </w:rPr>
              <w:t>Titular</w:t>
            </w:r>
          </w:p>
        </w:tc>
        <w:tc>
          <w:tcPr>
            <w:tcW w:w="0" w:type="auto"/>
            <w:tcBorders>
              <w:top w:val="single" w:sz="4" w:space="0" w:color="A2A9B1"/>
              <w:left w:val="single" w:sz="4" w:space="0" w:color="A2A9B1"/>
              <w:bottom w:val="single" w:sz="4" w:space="0" w:color="A2A9B1"/>
              <w:right w:val="single" w:sz="4" w:space="0" w:color="A2A9B1"/>
            </w:tcBorders>
            <w:shd w:val="clear" w:color="auto" w:fill="EAECF0"/>
            <w:tcMar>
              <w:top w:w="48" w:type="dxa"/>
              <w:left w:w="96" w:type="dxa"/>
              <w:bottom w:w="48" w:type="dxa"/>
              <w:right w:w="96" w:type="dxa"/>
            </w:tcMar>
            <w:vAlign w:val="center"/>
            <w:hideMark/>
          </w:tcPr>
          <w:p w:rsidR="009C1769" w:rsidRPr="009C1769" w:rsidRDefault="009C1769" w:rsidP="009C1769">
            <w:pPr>
              <w:spacing w:before="240" w:after="240" w:line="240" w:lineRule="auto"/>
              <w:jc w:val="center"/>
              <w:rPr>
                <w:rFonts w:ascii="Arial" w:eastAsia="Times New Roman" w:hAnsi="Arial" w:cs="Arial"/>
                <w:b/>
                <w:bCs/>
                <w:color w:val="202122"/>
                <w:sz w:val="24"/>
                <w:szCs w:val="24"/>
                <w:lang w:eastAsia="es-ES"/>
              </w:rPr>
            </w:pPr>
            <w:r w:rsidRPr="009C1769">
              <w:rPr>
                <w:rFonts w:ascii="Arial" w:eastAsia="Times New Roman" w:hAnsi="Arial" w:cs="Arial"/>
                <w:b/>
                <w:bCs/>
                <w:color w:val="202122"/>
                <w:sz w:val="24"/>
                <w:szCs w:val="24"/>
                <w:lang w:eastAsia="es-ES"/>
              </w:rPr>
              <w:t>Periodo</w:t>
            </w:r>
          </w:p>
        </w:tc>
      </w:tr>
      <w:tr w:rsidR="009C1769" w:rsidRPr="009C1769" w:rsidTr="009C1769">
        <w:tc>
          <w:tcPr>
            <w:tcW w:w="0" w:type="auto"/>
            <w:gridSpan w:val="3"/>
            <w:tcBorders>
              <w:top w:val="single" w:sz="4" w:space="0" w:color="A2A9B1"/>
              <w:left w:val="single" w:sz="4" w:space="0" w:color="A2A9B1"/>
              <w:bottom w:val="single" w:sz="4" w:space="0" w:color="A2A9B1"/>
              <w:right w:val="single" w:sz="4" w:space="0" w:color="A2A9B1"/>
            </w:tcBorders>
            <w:shd w:val="clear" w:color="auto" w:fill="EAECF0"/>
            <w:tcMar>
              <w:top w:w="48" w:type="dxa"/>
              <w:left w:w="96" w:type="dxa"/>
              <w:bottom w:w="48" w:type="dxa"/>
              <w:right w:w="96" w:type="dxa"/>
            </w:tcMar>
            <w:vAlign w:val="center"/>
            <w:hideMark/>
          </w:tcPr>
          <w:p w:rsidR="009C1769" w:rsidRPr="009C1769" w:rsidRDefault="009C1769" w:rsidP="009C1769">
            <w:pPr>
              <w:spacing w:before="240" w:after="240" w:line="240" w:lineRule="auto"/>
              <w:jc w:val="center"/>
              <w:rPr>
                <w:rFonts w:ascii="Arial" w:eastAsia="Times New Roman" w:hAnsi="Arial" w:cs="Arial"/>
                <w:b/>
                <w:bCs/>
                <w:color w:val="202122"/>
                <w:sz w:val="24"/>
                <w:szCs w:val="24"/>
                <w:lang w:eastAsia="es-ES"/>
              </w:rPr>
            </w:pPr>
            <w:r w:rsidRPr="009C1769">
              <w:rPr>
                <w:rFonts w:ascii="Arial" w:eastAsia="Times New Roman" w:hAnsi="Arial" w:cs="Arial"/>
                <w:b/>
                <w:bCs/>
                <w:color w:val="202122"/>
                <w:sz w:val="24"/>
                <w:szCs w:val="24"/>
                <w:lang w:eastAsia="es-ES"/>
              </w:rPr>
              <w:t>Creación por </w:t>
            </w:r>
            <w:r>
              <w:rPr>
                <w:rFonts w:ascii="Arial" w:eastAsia="Times New Roman" w:hAnsi="Arial" w:cs="Arial"/>
                <w:b/>
                <w:bCs/>
                <w:color w:val="202122"/>
                <w:sz w:val="24"/>
                <w:szCs w:val="24"/>
                <w:lang w:eastAsia="es-ES"/>
              </w:rPr>
              <w:t>Felipe II</w:t>
            </w:r>
          </w:p>
        </w:tc>
      </w:tr>
      <w:tr w:rsidR="009C1769" w:rsidRPr="009C1769" w:rsidTr="009C1769">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I</w:t>
            </w:r>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Luis Maza de Mendoza y Montalvo</w:t>
            </w:r>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1712-</w:t>
            </w:r>
          </w:p>
        </w:tc>
      </w:tr>
      <w:tr w:rsidR="009C1769" w:rsidRPr="009C1769" w:rsidTr="009C1769">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II</w:t>
            </w:r>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 xml:space="preserve">Alfonso Maza de Mendoza y </w:t>
            </w:r>
            <w:proofErr w:type="spellStart"/>
            <w:r w:rsidRPr="009C1769">
              <w:rPr>
                <w:rFonts w:ascii="Arial" w:eastAsia="Times New Roman" w:hAnsi="Arial" w:cs="Arial"/>
                <w:color w:val="202122"/>
                <w:sz w:val="24"/>
                <w:szCs w:val="24"/>
                <w:lang w:eastAsia="es-ES"/>
              </w:rPr>
              <w:t>Ullóa</w:t>
            </w:r>
            <w:proofErr w:type="spellEnd"/>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p>
        </w:tc>
      </w:tr>
      <w:tr w:rsidR="009C1769" w:rsidRPr="009C1769" w:rsidTr="009C1769">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III</w:t>
            </w:r>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 xml:space="preserve">Luis Maza de Mendoza y </w:t>
            </w:r>
            <w:proofErr w:type="spellStart"/>
            <w:r w:rsidRPr="009C1769">
              <w:rPr>
                <w:rFonts w:ascii="Arial" w:eastAsia="Times New Roman" w:hAnsi="Arial" w:cs="Arial"/>
                <w:color w:val="202122"/>
                <w:sz w:val="24"/>
                <w:szCs w:val="24"/>
                <w:lang w:eastAsia="es-ES"/>
              </w:rPr>
              <w:t>Ullóa</w:t>
            </w:r>
            <w:proofErr w:type="spellEnd"/>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p>
        </w:tc>
      </w:tr>
      <w:tr w:rsidR="009C1769" w:rsidRPr="009C1769" w:rsidTr="009C1769">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IV</w:t>
            </w:r>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 xml:space="preserve">Antonio Luis Maza de Mendoza y </w:t>
            </w:r>
            <w:proofErr w:type="spellStart"/>
            <w:r w:rsidRPr="009C1769">
              <w:rPr>
                <w:rFonts w:ascii="Arial" w:eastAsia="Times New Roman" w:hAnsi="Arial" w:cs="Arial"/>
                <w:color w:val="202122"/>
                <w:sz w:val="24"/>
                <w:szCs w:val="24"/>
                <w:lang w:eastAsia="es-ES"/>
              </w:rPr>
              <w:t>Mazaurrieta</w:t>
            </w:r>
            <w:proofErr w:type="spellEnd"/>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p>
        </w:tc>
      </w:tr>
      <w:tr w:rsidR="009C1769" w:rsidRPr="009C1769" w:rsidTr="009C1769">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V</w:t>
            </w:r>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José Maza de Mendoza y Echeverri</w:t>
            </w:r>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p>
        </w:tc>
      </w:tr>
      <w:tr w:rsidR="009C1769" w:rsidRPr="009C1769" w:rsidTr="009C1769">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VI</w:t>
            </w:r>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Fernando Maza de Mendoza y Echeverri</w:t>
            </w:r>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p>
        </w:tc>
      </w:tr>
      <w:tr w:rsidR="009C1769" w:rsidRPr="009C1769" w:rsidTr="009C1769">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VII</w:t>
            </w:r>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Antonio Maza y Díez de Rivera</w:t>
            </w:r>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p>
        </w:tc>
      </w:tr>
      <w:tr w:rsidR="009C1769" w:rsidRPr="009C1769" w:rsidTr="009C1769">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lastRenderedPageBreak/>
              <w:t>VIII</w:t>
            </w:r>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José Maza y Díez de Rivera</w:t>
            </w:r>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p>
        </w:tc>
      </w:tr>
      <w:tr w:rsidR="009C1769" w:rsidRPr="009C1769" w:rsidTr="009C1769">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IX</w:t>
            </w:r>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María Encarnación Maza de Mendoza y Echeverri</w:t>
            </w:r>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p>
        </w:tc>
      </w:tr>
      <w:tr w:rsidR="009C1769" w:rsidRPr="009C1769" w:rsidTr="009C1769">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X</w:t>
            </w:r>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Baltasar Díez de Rivera y Maza</w:t>
            </w:r>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 -1894</w:t>
            </w:r>
          </w:p>
        </w:tc>
      </w:tr>
      <w:tr w:rsidR="009C1769" w:rsidRPr="009C1769" w:rsidTr="009C1769">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XI</w:t>
            </w:r>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Antonio Díez de Rivera y Muro</w:t>
            </w:r>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1894-1931</w:t>
            </w:r>
          </w:p>
        </w:tc>
      </w:tr>
      <w:tr w:rsidR="009C1769" w:rsidRPr="009C1769" w:rsidTr="009C1769">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XII</w:t>
            </w:r>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María Josefa Díez de Rivera y Muro</w:t>
            </w:r>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1931-1946</w:t>
            </w:r>
          </w:p>
        </w:tc>
      </w:tr>
      <w:tr w:rsidR="009C1769" w:rsidRPr="009C1769" w:rsidTr="009C1769">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XIII</w:t>
            </w:r>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María Gracia Díez de Rivera y Díez de Rivera</w:t>
            </w:r>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1956-1985</w:t>
            </w:r>
          </w:p>
        </w:tc>
      </w:tr>
      <w:tr w:rsidR="009C1769" w:rsidRPr="009C1769" w:rsidTr="009C1769">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XIV</w:t>
            </w:r>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Carlos Zárate y Díez de Rivera</w:t>
            </w:r>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1985-2016</w:t>
            </w:r>
          </w:p>
        </w:tc>
      </w:tr>
      <w:tr w:rsidR="009C1769" w:rsidRPr="009C1769" w:rsidTr="009C1769">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XV</w:t>
            </w:r>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Ana María Zárate y Marsans</w:t>
            </w:r>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9C1769" w:rsidRPr="009C1769" w:rsidRDefault="009C1769" w:rsidP="009C1769">
            <w:pPr>
              <w:spacing w:before="240" w:after="240" w:line="240" w:lineRule="auto"/>
              <w:rPr>
                <w:rFonts w:ascii="Arial" w:eastAsia="Times New Roman" w:hAnsi="Arial" w:cs="Arial"/>
                <w:color w:val="202122"/>
                <w:sz w:val="24"/>
                <w:szCs w:val="24"/>
                <w:lang w:eastAsia="es-ES"/>
              </w:rPr>
            </w:pPr>
            <w:r w:rsidRPr="009C1769">
              <w:rPr>
                <w:rFonts w:ascii="Arial" w:eastAsia="Times New Roman" w:hAnsi="Arial" w:cs="Arial"/>
                <w:color w:val="202122"/>
                <w:sz w:val="24"/>
                <w:szCs w:val="24"/>
                <w:lang w:eastAsia="es-ES"/>
              </w:rPr>
              <w:t>2017-actualidad</w:t>
            </w:r>
          </w:p>
        </w:tc>
      </w:tr>
    </w:tbl>
    <w:p w:rsidR="009C1769" w:rsidRDefault="009C1769">
      <w:pPr>
        <w:rPr>
          <w:rFonts w:ascii="Arial" w:hAnsi="Arial" w:cs="Arial"/>
          <w:sz w:val="24"/>
          <w:szCs w:val="24"/>
        </w:rPr>
      </w:pPr>
    </w:p>
    <w:p w:rsidR="006950F7" w:rsidRPr="006950F7" w:rsidRDefault="006950F7" w:rsidP="006950F7">
      <w:pPr>
        <w:spacing w:line="240" w:lineRule="auto"/>
        <w:rPr>
          <w:rFonts w:ascii="Arial" w:eastAsia="Times New Roman" w:hAnsi="Arial" w:cs="Arial"/>
          <w:b/>
          <w:bCs/>
          <w:sz w:val="24"/>
          <w:szCs w:val="24"/>
          <w:lang w:eastAsia="es-ES"/>
        </w:rPr>
      </w:pPr>
      <w:r w:rsidRPr="006950F7">
        <w:rPr>
          <w:rFonts w:ascii="Arial" w:eastAsia="Times New Roman" w:hAnsi="Arial" w:cs="Arial"/>
          <w:b/>
          <w:bCs/>
          <w:sz w:val="24"/>
          <w:szCs w:val="24"/>
          <w:lang w:eastAsia="es-ES"/>
        </w:rPr>
        <w:t>Primeros Titulares: La Línea de los Maza de Mendoza</w:t>
      </w:r>
    </w:p>
    <w:p w:rsidR="006950F7" w:rsidRPr="006950F7" w:rsidRDefault="006950F7" w:rsidP="006950F7">
      <w:pPr>
        <w:numPr>
          <w:ilvl w:val="0"/>
          <w:numId w:val="3"/>
        </w:numPr>
        <w:spacing w:after="0" w:line="240" w:lineRule="auto"/>
        <w:ind w:left="0"/>
        <w:rPr>
          <w:rFonts w:ascii="Arial" w:eastAsia="Times New Roman" w:hAnsi="Arial" w:cs="Arial"/>
          <w:sz w:val="24"/>
          <w:szCs w:val="24"/>
          <w:lang w:eastAsia="es-ES"/>
        </w:rPr>
      </w:pPr>
      <w:r w:rsidRPr="006950F7">
        <w:rPr>
          <w:rFonts w:ascii="Arial" w:eastAsia="Times New Roman" w:hAnsi="Arial" w:cs="Arial"/>
          <w:b/>
          <w:bCs/>
          <w:sz w:val="24"/>
          <w:szCs w:val="24"/>
          <w:lang w:eastAsia="es-ES"/>
        </w:rPr>
        <w:t xml:space="preserve">1.º Marqués (1712): </w:t>
      </w:r>
      <w:r w:rsidRPr="006950F7">
        <w:rPr>
          <w:rFonts w:ascii="Arial" w:eastAsia="Times New Roman" w:hAnsi="Arial" w:cs="Arial"/>
          <w:bCs/>
          <w:sz w:val="24"/>
          <w:szCs w:val="24"/>
          <w:lang w:eastAsia="es-ES"/>
        </w:rPr>
        <w:t>Luis Maza de Mendoza y Montalvo Núñez de Valdivia</w:t>
      </w:r>
      <w:r w:rsidRPr="006950F7">
        <w:rPr>
          <w:rFonts w:ascii="Arial" w:eastAsia="Times New Roman" w:hAnsi="Arial" w:cs="Arial"/>
          <w:sz w:val="24"/>
          <w:szCs w:val="24"/>
          <w:lang w:eastAsia="es-ES"/>
        </w:rPr>
        <w:t>. Hijo de Juan Maza de Mendoza y de Inés María de Montalvo. Fue Caballero de la Orden de Alcántara, Veinticuatro de Granada y Regidor de Segovia. Casó con la cacereña Elvira de Ulloa Solís.</w:t>
      </w:r>
    </w:p>
    <w:p w:rsidR="006950F7" w:rsidRPr="006950F7" w:rsidRDefault="006950F7" w:rsidP="006950F7">
      <w:pPr>
        <w:numPr>
          <w:ilvl w:val="0"/>
          <w:numId w:val="3"/>
        </w:numPr>
        <w:spacing w:after="0" w:line="240" w:lineRule="auto"/>
        <w:ind w:left="0"/>
        <w:rPr>
          <w:rFonts w:ascii="Arial" w:eastAsia="Times New Roman" w:hAnsi="Arial" w:cs="Arial"/>
          <w:sz w:val="24"/>
          <w:szCs w:val="24"/>
          <w:lang w:eastAsia="es-ES"/>
        </w:rPr>
      </w:pPr>
      <w:r w:rsidRPr="006950F7">
        <w:rPr>
          <w:rFonts w:ascii="Arial" w:eastAsia="Times New Roman" w:hAnsi="Arial" w:cs="Arial"/>
          <w:b/>
          <w:bCs/>
          <w:sz w:val="24"/>
          <w:szCs w:val="24"/>
          <w:lang w:eastAsia="es-ES"/>
        </w:rPr>
        <w:t xml:space="preserve">2.º Marqués: </w:t>
      </w:r>
      <w:r w:rsidRPr="006950F7">
        <w:rPr>
          <w:rFonts w:ascii="Arial" w:eastAsia="Times New Roman" w:hAnsi="Arial" w:cs="Arial"/>
          <w:bCs/>
          <w:sz w:val="24"/>
          <w:szCs w:val="24"/>
          <w:lang w:eastAsia="es-ES"/>
        </w:rPr>
        <w:t>Alonso Maza de Mendoza y Ulloa</w:t>
      </w:r>
      <w:r w:rsidRPr="006950F7">
        <w:rPr>
          <w:rFonts w:ascii="Arial" w:eastAsia="Times New Roman" w:hAnsi="Arial" w:cs="Arial"/>
          <w:sz w:val="24"/>
          <w:szCs w:val="24"/>
          <w:lang w:eastAsia="es-ES"/>
        </w:rPr>
        <w:t>. Hijo del primer titular, asumió la merced nobiliaria manteniendo el patrimonio original.</w:t>
      </w:r>
    </w:p>
    <w:p w:rsidR="006950F7" w:rsidRPr="006950F7" w:rsidRDefault="006950F7" w:rsidP="006950F7">
      <w:pPr>
        <w:numPr>
          <w:ilvl w:val="0"/>
          <w:numId w:val="3"/>
        </w:numPr>
        <w:spacing w:after="0" w:line="240" w:lineRule="auto"/>
        <w:ind w:left="0"/>
        <w:rPr>
          <w:rFonts w:ascii="Arial" w:eastAsia="Times New Roman" w:hAnsi="Arial" w:cs="Arial"/>
          <w:sz w:val="24"/>
          <w:szCs w:val="24"/>
          <w:lang w:eastAsia="es-ES"/>
        </w:rPr>
      </w:pPr>
      <w:r w:rsidRPr="006950F7">
        <w:rPr>
          <w:rFonts w:ascii="Arial" w:eastAsia="Times New Roman" w:hAnsi="Arial" w:cs="Arial"/>
          <w:b/>
          <w:bCs/>
          <w:sz w:val="24"/>
          <w:szCs w:val="24"/>
          <w:lang w:eastAsia="es-ES"/>
        </w:rPr>
        <w:t xml:space="preserve">3.er Marqués: </w:t>
      </w:r>
      <w:r w:rsidRPr="006950F7">
        <w:rPr>
          <w:rFonts w:ascii="Arial" w:eastAsia="Times New Roman" w:hAnsi="Arial" w:cs="Arial"/>
          <w:bCs/>
          <w:sz w:val="24"/>
          <w:szCs w:val="24"/>
          <w:lang w:eastAsia="es-ES"/>
        </w:rPr>
        <w:t xml:space="preserve">Luis Maza de Mendoza Ulloa Obando y </w:t>
      </w:r>
      <w:proofErr w:type="spellStart"/>
      <w:r w:rsidRPr="006950F7">
        <w:rPr>
          <w:rFonts w:ascii="Arial" w:eastAsia="Times New Roman" w:hAnsi="Arial" w:cs="Arial"/>
          <w:bCs/>
          <w:sz w:val="24"/>
          <w:szCs w:val="24"/>
          <w:lang w:eastAsia="es-ES"/>
        </w:rPr>
        <w:t>Santarén</w:t>
      </w:r>
      <w:proofErr w:type="spellEnd"/>
      <w:r w:rsidRPr="006950F7">
        <w:rPr>
          <w:rFonts w:ascii="Arial" w:eastAsia="Times New Roman" w:hAnsi="Arial" w:cs="Arial"/>
          <w:sz w:val="24"/>
          <w:szCs w:val="24"/>
          <w:lang w:eastAsia="es-ES"/>
        </w:rPr>
        <w:t>. Hermano del anterior titular, heredó el marquesado ante la falta de sucesión directa en esa línea.</w:t>
      </w:r>
    </w:p>
    <w:p w:rsidR="009C1769" w:rsidRPr="006950F7" w:rsidRDefault="006950F7" w:rsidP="009C1769">
      <w:pPr>
        <w:numPr>
          <w:ilvl w:val="0"/>
          <w:numId w:val="3"/>
        </w:numPr>
        <w:spacing w:after="0" w:line="240" w:lineRule="auto"/>
        <w:ind w:left="0"/>
        <w:rPr>
          <w:rFonts w:ascii="Arial" w:eastAsia="Times New Roman" w:hAnsi="Arial" w:cs="Arial"/>
          <w:sz w:val="24"/>
          <w:szCs w:val="24"/>
          <w:lang w:eastAsia="es-ES"/>
        </w:rPr>
      </w:pPr>
      <w:r w:rsidRPr="006950F7">
        <w:rPr>
          <w:rFonts w:ascii="Arial" w:eastAsia="Times New Roman" w:hAnsi="Arial" w:cs="Arial"/>
          <w:b/>
          <w:bCs/>
          <w:sz w:val="24"/>
          <w:szCs w:val="24"/>
          <w:lang w:eastAsia="es-ES"/>
        </w:rPr>
        <w:t xml:space="preserve">4.º Marqués: </w:t>
      </w:r>
      <w:r w:rsidRPr="006950F7">
        <w:rPr>
          <w:rFonts w:ascii="Arial" w:eastAsia="Times New Roman" w:hAnsi="Arial" w:cs="Arial"/>
          <w:bCs/>
          <w:sz w:val="24"/>
          <w:szCs w:val="24"/>
          <w:lang w:eastAsia="es-ES"/>
        </w:rPr>
        <w:t xml:space="preserve">Antonio Luis Maza y </w:t>
      </w:r>
      <w:proofErr w:type="spellStart"/>
      <w:r w:rsidRPr="006950F7">
        <w:rPr>
          <w:rFonts w:ascii="Arial" w:eastAsia="Times New Roman" w:hAnsi="Arial" w:cs="Arial"/>
          <w:bCs/>
          <w:sz w:val="24"/>
          <w:szCs w:val="24"/>
          <w:lang w:eastAsia="es-ES"/>
        </w:rPr>
        <w:t>Musarrieta</w:t>
      </w:r>
      <w:proofErr w:type="spellEnd"/>
      <w:r w:rsidRPr="006950F7">
        <w:rPr>
          <w:rFonts w:ascii="Arial" w:eastAsia="Times New Roman" w:hAnsi="Arial" w:cs="Arial"/>
          <w:sz w:val="24"/>
          <w:szCs w:val="24"/>
          <w:lang w:eastAsia="es-ES"/>
        </w:rPr>
        <w:t>. Hijo de Luis Maza y sucesor directo a comienzos del siglo XIX. Fue protagonista de sonados pleitos territoriales y jurisdiccionales en el sur de España justo antes de la supresión de los señoríos por las Cortes de Cádiz.</w:t>
      </w:r>
    </w:p>
    <w:p w:rsidR="006950F7" w:rsidRDefault="006950F7" w:rsidP="006950F7">
      <w:pPr>
        <w:numPr>
          <w:ilvl w:val="0"/>
          <w:numId w:val="4"/>
        </w:numPr>
        <w:spacing w:after="0" w:line="240" w:lineRule="auto"/>
        <w:ind w:left="0"/>
        <w:rPr>
          <w:rFonts w:ascii="Arial" w:eastAsia="Times New Roman" w:hAnsi="Arial" w:cs="Arial"/>
          <w:sz w:val="24"/>
          <w:szCs w:val="24"/>
          <w:lang w:eastAsia="es-ES"/>
        </w:rPr>
      </w:pPr>
      <w:r w:rsidRPr="006950F7">
        <w:rPr>
          <w:rFonts w:ascii="Arial" w:eastAsia="Times New Roman" w:hAnsi="Arial" w:cs="Arial"/>
          <w:b/>
          <w:bCs/>
          <w:sz w:val="24"/>
          <w:szCs w:val="24"/>
          <w:lang w:eastAsia="es-ES"/>
        </w:rPr>
        <w:t>Titular actual:</w:t>
      </w:r>
      <w:r w:rsidRPr="006950F7">
        <w:rPr>
          <w:rFonts w:ascii="Arial" w:eastAsia="Times New Roman" w:hAnsi="Arial" w:cs="Arial"/>
          <w:sz w:val="24"/>
          <w:szCs w:val="24"/>
          <w:lang w:eastAsia="es-ES"/>
        </w:rPr>
        <w:t xml:space="preserve"> </w:t>
      </w:r>
      <w:r w:rsidRPr="006950F7">
        <w:rPr>
          <w:rFonts w:ascii="Arial" w:eastAsia="Times New Roman" w:hAnsi="Arial" w:cs="Arial"/>
          <w:bCs/>
          <w:sz w:val="24"/>
          <w:szCs w:val="24"/>
          <w:lang w:eastAsia="es-ES"/>
        </w:rPr>
        <w:t>Ana María Zárate y Marsans</w:t>
      </w:r>
      <w:r w:rsidRPr="006950F7">
        <w:rPr>
          <w:rFonts w:ascii="Arial" w:eastAsia="Times New Roman" w:hAnsi="Arial" w:cs="Arial"/>
          <w:sz w:val="24"/>
          <w:szCs w:val="24"/>
          <w:lang w:eastAsia="es-ES"/>
        </w:rPr>
        <w:t>, quien ostenta el título de Marquesa de Casablanca de acuerdo con los registros oficiales de la Diputación de la Grandeza de España y la legislación nobiliaria vigente.</w:t>
      </w:r>
    </w:p>
    <w:p w:rsidR="007B0305" w:rsidRDefault="007B0305" w:rsidP="007B0305">
      <w:pPr>
        <w:spacing w:after="0" w:line="240" w:lineRule="auto"/>
        <w:rPr>
          <w:rFonts w:ascii="Arial" w:eastAsia="Times New Roman" w:hAnsi="Arial" w:cs="Arial"/>
          <w:sz w:val="24"/>
          <w:szCs w:val="24"/>
          <w:lang w:eastAsia="es-ES"/>
        </w:rPr>
      </w:pPr>
    </w:p>
    <w:p w:rsidR="007B0305" w:rsidRPr="007B0305" w:rsidRDefault="007B0305" w:rsidP="007B0305">
      <w:pPr>
        <w:pStyle w:val="Ttulo2"/>
        <w:shd w:val="clear" w:color="auto" w:fill="FFFFFF"/>
        <w:spacing w:before="0" w:beforeAutospacing="0" w:after="60" w:afterAutospacing="0"/>
        <w:rPr>
          <w:rFonts w:ascii="Arial" w:hAnsi="Arial" w:cs="Arial"/>
          <w:color w:val="101418"/>
          <w:sz w:val="24"/>
          <w:szCs w:val="24"/>
        </w:rPr>
      </w:pPr>
      <w:r w:rsidRPr="007B0305">
        <w:rPr>
          <w:rFonts w:ascii="Arial" w:hAnsi="Arial" w:cs="Arial"/>
          <w:color w:val="101418"/>
          <w:sz w:val="24"/>
          <w:szCs w:val="24"/>
        </w:rPr>
        <w:t>Historia de los marqueses de Casablanca</w:t>
      </w:r>
    </w:p>
    <w:p w:rsidR="007B0305" w:rsidRPr="00F652C8" w:rsidRDefault="007B0305" w:rsidP="00F652C8">
      <w:pPr>
        <w:numPr>
          <w:ilvl w:val="0"/>
          <w:numId w:val="7"/>
        </w:numPr>
        <w:shd w:val="clear" w:color="auto" w:fill="FFFFFF"/>
        <w:spacing w:before="100" w:beforeAutospacing="1" w:after="24" w:line="240" w:lineRule="auto"/>
        <w:ind w:left="384"/>
        <w:rPr>
          <w:rFonts w:ascii="Arial" w:hAnsi="Arial" w:cs="Arial"/>
          <w:color w:val="202122"/>
          <w:sz w:val="24"/>
          <w:szCs w:val="24"/>
        </w:rPr>
      </w:pPr>
      <w:r w:rsidRPr="00D852B5">
        <w:rPr>
          <w:rFonts w:ascii="Arial" w:hAnsi="Arial" w:cs="Arial"/>
          <w:color w:val="202122"/>
          <w:sz w:val="24"/>
          <w:szCs w:val="24"/>
        </w:rPr>
        <w:t xml:space="preserve">Luis Maza de Mendoza y Montalvo (n. en 1653), </w:t>
      </w:r>
      <w:r w:rsidRPr="00D852B5">
        <w:rPr>
          <w:rFonts w:ascii="Arial" w:hAnsi="Arial" w:cs="Arial"/>
          <w:iCs/>
          <w:color w:val="202122"/>
          <w:sz w:val="24"/>
          <w:szCs w:val="24"/>
        </w:rPr>
        <w:t>I marqués de Casablanca</w:t>
      </w:r>
      <w:r w:rsidRPr="00D852B5">
        <w:rPr>
          <w:rFonts w:ascii="Arial" w:hAnsi="Arial" w:cs="Arial"/>
          <w:color w:val="202122"/>
          <w:sz w:val="24"/>
          <w:szCs w:val="24"/>
        </w:rPr>
        <w:t xml:space="preserve">, que tomó este nombre por una quinta, llamada Casablanca que se encontraba en </w:t>
      </w:r>
      <w:proofErr w:type="spellStart"/>
      <w:r w:rsidRPr="00D852B5">
        <w:rPr>
          <w:rFonts w:ascii="Arial" w:hAnsi="Arial" w:cs="Arial"/>
          <w:color w:val="202122"/>
          <w:sz w:val="24"/>
          <w:szCs w:val="24"/>
        </w:rPr>
        <w:t>Vicar</w:t>
      </w:r>
      <w:proofErr w:type="spellEnd"/>
      <w:r w:rsidRPr="00D852B5">
        <w:rPr>
          <w:rFonts w:ascii="Arial" w:hAnsi="Arial" w:cs="Arial"/>
          <w:color w:val="202122"/>
          <w:sz w:val="24"/>
          <w:szCs w:val="24"/>
        </w:rPr>
        <w:t xml:space="preserve">, Almería. El rey "En atención a sus muchos servicios y </w:t>
      </w:r>
      <w:r w:rsidRPr="00D852B5">
        <w:rPr>
          <w:rFonts w:ascii="Arial" w:hAnsi="Arial" w:cs="Arial"/>
          <w:color w:val="202122"/>
          <w:sz w:val="24"/>
          <w:szCs w:val="24"/>
        </w:rPr>
        <w:lastRenderedPageBreak/>
        <w:t xml:space="preserve">con especial por el que ha hecho últimamente, en la entrega de un crecido número de caballos para la monta de la caballería de mis </w:t>
      </w:r>
      <w:proofErr w:type="spellStart"/>
      <w:r w:rsidRPr="00D852B5">
        <w:rPr>
          <w:rFonts w:ascii="Arial" w:hAnsi="Arial" w:cs="Arial"/>
          <w:color w:val="202122"/>
          <w:sz w:val="24"/>
          <w:szCs w:val="24"/>
        </w:rPr>
        <w:t>exercitos</w:t>
      </w:r>
      <w:proofErr w:type="spellEnd"/>
      <w:r w:rsidRPr="00D852B5">
        <w:rPr>
          <w:rFonts w:ascii="Arial" w:hAnsi="Arial" w:cs="Arial"/>
          <w:color w:val="202122"/>
          <w:sz w:val="24"/>
          <w:szCs w:val="24"/>
        </w:rPr>
        <w:t xml:space="preserve">, he tenido a dar el Título de Castilla a Don Luis de la Maza y Montalvo, 24 de aquella ciudad ( Granada ) Señor de Sauquillo ( por herencia de su madre) Veinticuatro de Granada, no fue señor de "Sauquillo" en (Soria) lugar erróneo, ya que fue señor de Sauquillo de Cabezas, en la provincia de Segovia , donde todavía se conserva el palacio y el escudo de los antecesores de su madre, los Montalvo, de los que era sucesora, Inés de Montalvo y Arévalo, la hija primogénita de sus padres y señora de Sauquillo. El escudo de Sauquillo corresponde a los Montalvo, no a los Maza que fueron los Marqueses de Casablanca que también tuvieron posesiones en Segovia capital y que pleitearon en la Real </w:t>
      </w:r>
      <w:proofErr w:type="spellStart"/>
      <w:r w:rsidRPr="00D852B5">
        <w:rPr>
          <w:rFonts w:ascii="Arial" w:hAnsi="Arial" w:cs="Arial"/>
          <w:color w:val="202122"/>
          <w:sz w:val="24"/>
          <w:szCs w:val="24"/>
        </w:rPr>
        <w:t>Chancilleria</w:t>
      </w:r>
      <w:proofErr w:type="spellEnd"/>
      <w:r w:rsidRPr="00D852B5">
        <w:rPr>
          <w:rFonts w:ascii="Arial" w:hAnsi="Arial" w:cs="Arial"/>
          <w:color w:val="202122"/>
          <w:sz w:val="24"/>
          <w:szCs w:val="24"/>
        </w:rPr>
        <w:t xml:space="preserve"> de Valladolid y se encuentra citado en el Catastro del Marqués de la Ensenada. Solariego de los lugares de Vícar, Félix, Enix y </w:t>
      </w:r>
      <w:proofErr w:type="spellStart"/>
      <w:r w:rsidRPr="00D852B5">
        <w:rPr>
          <w:rFonts w:ascii="Arial" w:hAnsi="Arial" w:cs="Arial"/>
          <w:color w:val="202122"/>
          <w:sz w:val="24"/>
          <w:szCs w:val="24"/>
        </w:rPr>
        <w:t>Navahales</w:t>
      </w:r>
      <w:proofErr w:type="spellEnd"/>
      <w:r w:rsidRPr="00D852B5">
        <w:rPr>
          <w:rFonts w:ascii="Arial" w:hAnsi="Arial" w:cs="Arial"/>
          <w:color w:val="202122"/>
          <w:sz w:val="24"/>
          <w:szCs w:val="24"/>
        </w:rPr>
        <w:t>, así como de las dehesas de la Sierra de Gádor, todo ello en Almería, Coronel de Infantería, Caballero de Alcántara, Senador del Reino.</w:t>
      </w:r>
      <w:r w:rsidR="00F652C8">
        <w:rPr>
          <w:rFonts w:ascii="Arial" w:hAnsi="Arial" w:cs="Arial"/>
          <w:color w:val="202122"/>
          <w:sz w:val="24"/>
          <w:szCs w:val="24"/>
        </w:rPr>
        <w:t xml:space="preserve"> </w:t>
      </w:r>
      <w:r w:rsidRPr="00F652C8">
        <w:rPr>
          <w:rFonts w:ascii="Arial" w:hAnsi="Arial" w:cs="Arial"/>
          <w:color w:val="202122"/>
          <w:sz w:val="24"/>
          <w:szCs w:val="24"/>
        </w:rPr>
        <w:t xml:space="preserve">Casó con Elvira de </w:t>
      </w:r>
      <w:proofErr w:type="spellStart"/>
      <w:r w:rsidRPr="00F652C8">
        <w:rPr>
          <w:rFonts w:ascii="Arial" w:hAnsi="Arial" w:cs="Arial"/>
          <w:color w:val="202122"/>
          <w:sz w:val="24"/>
          <w:szCs w:val="24"/>
        </w:rPr>
        <w:t>Ullóa</w:t>
      </w:r>
      <w:proofErr w:type="spellEnd"/>
      <w:r w:rsidRPr="00F652C8">
        <w:rPr>
          <w:rFonts w:ascii="Arial" w:hAnsi="Arial" w:cs="Arial"/>
          <w:color w:val="202122"/>
          <w:sz w:val="24"/>
          <w:szCs w:val="24"/>
        </w:rPr>
        <w:t xml:space="preserve"> y Solís. Le sucedió su hijo</w:t>
      </w:r>
      <w:r w:rsidR="00F652C8">
        <w:rPr>
          <w:rFonts w:ascii="Arial" w:hAnsi="Arial" w:cs="Arial"/>
          <w:color w:val="202122"/>
          <w:sz w:val="24"/>
          <w:szCs w:val="24"/>
        </w:rPr>
        <w:t>.</w:t>
      </w:r>
    </w:p>
    <w:p w:rsidR="007B0305" w:rsidRPr="00D852B5" w:rsidRDefault="007B0305" w:rsidP="007B0305">
      <w:pPr>
        <w:numPr>
          <w:ilvl w:val="0"/>
          <w:numId w:val="9"/>
        </w:numPr>
        <w:shd w:val="clear" w:color="auto" w:fill="FFFFFF"/>
        <w:spacing w:before="100" w:beforeAutospacing="1" w:after="24" w:line="240" w:lineRule="auto"/>
        <w:ind w:left="384"/>
        <w:rPr>
          <w:rFonts w:ascii="Arial" w:hAnsi="Arial" w:cs="Arial"/>
          <w:color w:val="202122"/>
          <w:sz w:val="24"/>
          <w:szCs w:val="24"/>
        </w:rPr>
      </w:pPr>
      <w:r w:rsidRPr="00D852B5">
        <w:rPr>
          <w:rFonts w:ascii="Arial" w:hAnsi="Arial" w:cs="Arial"/>
          <w:color w:val="202122"/>
          <w:sz w:val="24"/>
          <w:szCs w:val="24"/>
        </w:rPr>
        <w:t xml:space="preserve">Alonso Maza de Mendoza y </w:t>
      </w:r>
      <w:proofErr w:type="spellStart"/>
      <w:r w:rsidRPr="00D852B5">
        <w:rPr>
          <w:rFonts w:ascii="Arial" w:hAnsi="Arial" w:cs="Arial"/>
          <w:color w:val="202122"/>
          <w:sz w:val="24"/>
          <w:szCs w:val="24"/>
        </w:rPr>
        <w:t>Ullóa</w:t>
      </w:r>
      <w:proofErr w:type="spellEnd"/>
      <w:r w:rsidRPr="00D852B5">
        <w:rPr>
          <w:rFonts w:ascii="Arial" w:hAnsi="Arial" w:cs="Arial"/>
          <w:color w:val="202122"/>
          <w:sz w:val="24"/>
          <w:szCs w:val="24"/>
        </w:rPr>
        <w:t>, </w:t>
      </w:r>
      <w:r w:rsidRPr="00D852B5">
        <w:rPr>
          <w:rFonts w:ascii="Arial" w:hAnsi="Arial" w:cs="Arial"/>
          <w:bCs/>
          <w:color w:val="202122"/>
          <w:sz w:val="24"/>
          <w:szCs w:val="24"/>
        </w:rPr>
        <w:t>II marqués de Casablanca</w:t>
      </w:r>
      <w:r w:rsidRPr="00D852B5">
        <w:rPr>
          <w:rFonts w:ascii="Arial" w:hAnsi="Arial" w:cs="Arial"/>
          <w:color w:val="202122"/>
          <w:sz w:val="24"/>
          <w:szCs w:val="24"/>
        </w:rPr>
        <w:t>. Alcaide interino de la Alhambra de Granada. Casó con María Antonia de la Mora y Salazar. Sin descendientes. Le sucedió su hermano.</w:t>
      </w:r>
    </w:p>
    <w:p w:rsidR="007B0305" w:rsidRPr="00D852B5" w:rsidRDefault="007B0305" w:rsidP="007B0305">
      <w:pPr>
        <w:numPr>
          <w:ilvl w:val="0"/>
          <w:numId w:val="11"/>
        </w:numPr>
        <w:shd w:val="clear" w:color="auto" w:fill="FFFFFF"/>
        <w:spacing w:before="100" w:beforeAutospacing="1" w:after="24" w:line="240" w:lineRule="auto"/>
        <w:ind w:left="384"/>
        <w:rPr>
          <w:rFonts w:ascii="Arial" w:hAnsi="Arial" w:cs="Arial"/>
          <w:color w:val="202122"/>
          <w:sz w:val="24"/>
          <w:szCs w:val="24"/>
        </w:rPr>
      </w:pPr>
      <w:r w:rsidRPr="00D852B5">
        <w:rPr>
          <w:rFonts w:ascii="Arial" w:hAnsi="Arial" w:cs="Arial"/>
          <w:color w:val="202122"/>
          <w:sz w:val="24"/>
          <w:szCs w:val="24"/>
        </w:rPr>
        <w:t xml:space="preserve">Luis Maza de Mendoza y </w:t>
      </w:r>
      <w:proofErr w:type="spellStart"/>
      <w:r w:rsidRPr="00D852B5">
        <w:rPr>
          <w:rFonts w:ascii="Arial" w:hAnsi="Arial" w:cs="Arial"/>
          <w:color w:val="202122"/>
          <w:sz w:val="24"/>
          <w:szCs w:val="24"/>
        </w:rPr>
        <w:t>Ullóa</w:t>
      </w:r>
      <w:proofErr w:type="spellEnd"/>
      <w:r w:rsidRPr="00D852B5">
        <w:rPr>
          <w:rFonts w:ascii="Arial" w:hAnsi="Arial" w:cs="Arial"/>
          <w:color w:val="202122"/>
          <w:sz w:val="24"/>
          <w:szCs w:val="24"/>
        </w:rPr>
        <w:t>, </w:t>
      </w:r>
      <w:r w:rsidRPr="00D852B5">
        <w:rPr>
          <w:rFonts w:ascii="Arial" w:hAnsi="Arial" w:cs="Arial"/>
          <w:bCs/>
          <w:color w:val="202122"/>
          <w:sz w:val="24"/>
          <w:szCs w:val="24"/>
        </w:rPr>
        <w:t>III marqués de Casablanca</w:t>
      </w:r>
      <w:r w:rsidRPr="00D852B5">
        <w:rPr>
          <w:rFonts w:ascii="Arial" w:hAnsi="Arial" w:cs="Arial"/>
          <w:color w:val="202122"/>
          <w:sz w:val="24"/>
          <w:szCs w:val="24"/>
        </w:rPr>
        <w:t xml:space="preserve">. Casó con Francisca de Paula </w:t>
      </w:r>
      <w:proofErr w:type="spellStart"/>
      <w:r w:rsidRPr="00D852B5">
        <w:rPr>
          <w:rFonts w:ascii="Arial" w:hAnsi="Arial" w:cs="Arial"/>
          <w:color w:val="202122"/>
          <w:sz w:val="24"/>
          <w:szCs w:val="24"/>
        </w:rPr>
        <w:t>Mazaurrieta</w:t>
      </w:r>
      <w:proofErr w:type="spellEnd"/>
      <w:r w:rsidRPr="00D852B5">
        <w:rPr>
          <w:rFonts w:ascii="Arial" w:hAnsi="Arial" w:cs="Arial"/>
          <w:color w:val="202122"/>
          <w:sz w:val="24"/>
          <w:szCs w:val="24"/>
        </w:rPr>
        <w:t xml:space="preserve"> y Urbina. Le sucedió su hijo.</w:t>
      </w:r>
    </w:p>
    <w:p w:rsidR="007B0305" w:rsidRPr="00D852B5" w:rsidRDefault="007B0305" w:rsidP="007B0305">
      <w:pPr>
        <w:numPr>
          <w:ilvl w:val="0"/>
          <w:numId w:val="13"/>
        </w:numPr>
        <w:shd w:val="clear" w:color="auto" w:fill="FFFFFF"/>
        <w:spacing w:before="100" w:beforeAutospacing="1" w:after="24" w:line="240" w:lineRule="auto"/>
        <w:ind w:left="384"/>
        <w:rPr>
          <w:rFonts w:ascii="Arial" w:hAnsi="Arial" w:cs="Arial"/>
          <w:color w:val="202122"/>
          <w:sz w:val="24"/>
          <w:szCs w:val="24"/>
        </w:rPr>
      </w:pPr>
      <w:r w:rsidRPr="00D852B5">
        <w:rPr>
          <w:rFonts w:ascii="Arial" w:hAnsi="Arial" w:cs="Arial"/>
          <w:color w:val="202122"/>
          <w:sz w:val="24"/>
          <w:szCs w:val="24"/>
        </w:rPr>
        <w:t xml:space="preserve">Antonio Luis Maza de Mendoza y </w:t>
      </w:r>
      <w:proofErr w:type="spellStart"/>
      <w:r w:rsidRPr="00D852B5">
        <w:rPr>
          <w:rFonts w:ascii="Arial" w:hAnsi="Arial" w:cs="Arial"/>
          <w:color w:val="202122"/>
          <w:sz w:val="24"/>
          <w:szCs w:val="24"/>
        </w:rPr>
        <w:t>Mazaurrieta</w:t>
      </w:r>
      <w:proofErr w:type="spellEnd"/>
      <w:r w:rsidRPr="00D852B5">
        <w:rPr>
          <w:rFonts w:ascii="Arial" w:hAnsi="Arial" w:cs="Arial"/>
          <w:color w:val="202122"/>
          <w:sz w:val="24"/>
          <w:szCs w:val="24"/>
        </w:rPr>
        <w:t>, </w:t>
      </w:r>
      <w:r w:rsidRPr="00D852B5">
        <w:rPr>
          <w:rFonts w:ascii="Arial" w:hAnsi="Arial" w:cs="Arial"/>
          <w:bCs/>
          <w:color w:val="202122"/>
          <w:sz w:val="24"/>
          <w:szCs w:val="24"/>
        </w:rPr>
        <w:t>IV marqués de Casablanca</w:t>
      </w:r>
      <w:r w:rsidRPr="00D852B5">
        <w:rPr>
          <w:rFonts w:ascii="Arial" w:hAnsi="Arial" w:cs="Arial"/>
          <w:color w:val="202122"/>
          <w:sz w:val="24"/>
          <w:szCs w:val="24"/>
        </w:rPr>
        <w:t>. Este marqués fue uno de los pocos que no residió en Granada, ya que fue vecino de Málaga. Casó con Encarnación Echeverri y Chacón. Le sucedió su hijo.</w:t>
      </w:r>
    </w:p>
    <w:p w:rsidR="007B0305" w:rsidRPr="00D852B5" w:rsidRDefault="007B0305" w:rsidP="007B0305">
      <w:pPr>
        <w:numPr>
          <w:ilvl w:val="0"/>
          <w:numId w:val="15"/>
        </w:numPr>
        <w:shd w:val="clear" w:color="auto" w:fill="FFFFFF"/>
        <w:spacing w:before="100" w:beforeAutospacing="1" w:after="24" w:line="240" w:lineRule="auto"/>
        <w:ind w:left="384"/>
        <w:rPr>
          <w:rFonts w:ascii="Arial" w:hAnsi="Arial" w:cs="Arial"/>
          <w:color w:val="202122"/>
          <w:sz w:val="24"/>
          <w:szCs w:val="24"/>
        </w:rPr>
      </w:pPr>
      <w:r w:rsidRPr="00D852B5">
        <w:rPr>
          <w:rFonts w:ascii="Arial" w:hAnsi="Arial" w:cs="Arial"/>
          <w:color w:val="202122"/>
          <w:sz w:val="24"/>
          <w:szCs w:val="24"/>
        </w:rPr>
        <w:t>José Maza de Mendoza y Echeverri, </w:t>
      </w:r>
      <w:r w:rsidRPr="00D852B5">
        <w:rPr>
          <w:rFonts w:ascii="Arial" w:hAnsi="Arial" w:cs="Arial"/>
          <w:bCs/>
          <w:color w:val="202122"/>
          <w:sz w:val="24"/>
          <w:szCs w:val="24"/>
        </w:rPr>
        <w:t>V marqués de Casablanca</w:t>
      </w:r>
      <w:r w:rsidRPr="00D852B5">
        <w:rPr>
          <w:rFonts w:ascii="Arial" w:hAnsi="Arial" w:cs="Arial"/>
          <w:color w:val="202122"/>
          <w:sz w:val="24"/>
          <w:szCs w:val="24"/>
        </w:rPr>
        <w:t>. Sin descendientes. Le sucedió su hermano.</w:t>
      </w:r>
    </w:p>
    <w:p w:rsidR="007B0305" w:rsidRPr="00D852B5" w:rsidRDefault="007B0305" w:rsidP="007B0305">
      <w:pPr>
        <w:numPr>
          <w:ilvl w:val="0"/>
          <w:numId w:val="16"/>
        </w:numPr>
        <w:shd w:val="clear" w:color="auto" w:fill="FFFFFF"/>
        <w:spacing w:before="100" w:beforeAutospacing="1" w:after="24" w:line="240" w:lineRule="auto"/>
        <w:ind w:left="384"/>
        <w:rPr>
          <w:rFonts w:ascii="Arial" w:hAnsi="Arial" w:cs="Arial"/>
          <w:color w:val="202122"/>
          <w:sz w:val="24"/>
          <w:szCs w:val="24"/>
        </w:rPr>
      </w:pPr>
      <w:r w:rsidRPr="00D852B5">
        <w:rPr>
          <w:rFonts w:ascii="Arial" w:hAnsi="Arial" w:cs="Arial"/>
          <w:color w:val="202122"/>
          <w:sz w:val="24"/>
          <w:szCs w:val="24"/>
        </w:rPr>
        <w:t>Fernando Maza de Mendoza y Echeverri, </w:t>
      </w:r>
      <w:r w:rsidRPr="00D852B5">
        <w:rPr>
          <w:rFonts w:ascii="Arial" w:hAnsi="Arial" w:cs="Arial"/>
          <w:bCs/>
          <w:color w:val="202122"/>
          <w:sz w:val="24"/>
          <w:szCs w:val="24"/>
        </w:rPr>
        <w:t>VI marqués de Casablanca</w:t>
      </w:r>
      <w:r w:rsidRPr="00D852B5">
        <w:rPr>
          <w:rFonts w:ascii="Arial" w:hAnsi="Arial" w:cs="Arial"/>
          <w:color w:val="202122"/>
          <w:sz w:val="24"/>
          <w:szCs w:val="24"/>
        </w:rPr>
        <w:t>. Casó con María de los Dolores Díez de Rivera y Maza. Le sucedió su hijo.</w:t>
      </w:r>
    </w:p>
    <w:p w:rsidR="007B0305" w:rsidRPr="00D852B5" w:rsidRDefault="007B0305" w:rsidP="007B0305">
      <w:pPr>
        <w:numPr>
          <w:ilvl w:val="0"/>
          <w:numId w:val="18"/>
        </w:numPr>
        <w:shd w:val="clear" w:color="auto" w:fill="FFFFFF"/>
        <w:spacing w:before="100" w:beforeAutospacing="1" w:after="24" w:line="240" w:lineRule="auto"/>
        <w:ind w:left="384"/>
        <w:rPr>
          <w:rFonts w:ascii="Arial" w:hAnsi="Arial" w:cs="Arial"/>
          <w:color w:val="202122"/>
          <w:sz w:val="24"/>
          <w:szCs w:val="24"/>
        </w:rPr>
      </w:pPr>
      <w:r w:rsidRPr="00D852B5">
        <w:rPr>
          <w:rFonts w:ascii="Arial" w:hAnsi="Arial" w:cs="Arial"/>
          <w:color w:val="202122"/>
          <w:sz w:val="24"/>
          <w:szCs w:val="24"/>
        </w:rPr>
        <w:t>Antonio Maza y Díez de Rivera, </w:t>
      </w:r>
      <w:r w:rsidRPr="00D852B5">
        <w:rPr>
          <w:rFonts w:ascii="Arial" w:hAnsi="Arial" w:cs="Arial"/>
          <w:bCs/>
          <w:color w:val="202122"/>
          <w:sz w:val="24"/>
          <w:szCs w:val="24"/>
        </w:rPr>
        <w:t>VII marqués de Casablanca</w:t>
      </w:r>
      <w:r w:rsidRPr="00D852B5">
        <w:rPr>
          <w:rFonts w:ascii="Arial" w:hAnsi="Arial" w:cs="Arial"/>
          <w:color w:val="202122"/>
          <w:sz w:val="24"/>
          <w:szCs w:val="24"/>
        </w:rPr>
        <w:t>. Este marqués abandonó el apellido "Maza de Mendoza" para usar solamente "Maza". Sin descendientes. Le sucedió su hermano.</w:t>
      </w:r>
    </w:p>
    <w:p w:rsidR="007B0305" w:rsidRPr="00D852B5" w:rsidRDefault="007B0305" w:rsidP="007B0305">
      <w:pPr>
        <w:numPr>
          <w:ilvl w:val="0"/>
          <w:numId w:val="19"/>
        </w:numPr>
        <w:shd w:val="clear" w:color="auto" w:fill="FFFFFF"/>
        <w:spacing w:before="100" w:beforeAutospacing="1" w:after="24" w:line="240" w:lineRule="auto"/>
        <w:ind w:left="384"/>
        <w:rPr>
          <w:rFonts w:ascii="Arial" w:hAnsi="Arial" w:cs="Arial"/>
          <w:color w:val="202122"/>
          <w:sz w:val="24"/>
          <w:szCs w:val="24"/>
        </w:rPr>
      </w:pPr>
      <w:r w:rsidRPr="00D852B5">
        <w:rPr>
          <w:rFonts w:ascii="Arial" w:hAnsi="Arial" w:cs="Arial"/>
          <w:color w:val="202122"/>
          <w:sz w:val="24"/>
          <w:szCs w:val="24"/>
        </w:rPr>
        <w:t>José Maza y Díez de Rivera, </w:t>
      </w:r>
      <w:r w:rsidRPr="00D852B5">
        <w:rPr>
          <w:rFonts w:ascii="Arial" w:hAnsi="Arial" w:cs="Arial"/>
          <w:bCs/>
          <w:color w:val="202122"/>
          <w:sz w:val="24"/>
          <w:szCs w:val="24"/>
        </w:rPr>
        <w:t>VIII marqués de Casablanca</w:t>
      </w:r>
      <w:r w:rsidRPr="00D852B5">
        <w:rPr>
          <w:rFonts w:ascii="Arial" w:hAnsi="Arial" w:cs="Arial"/>
          <w:color w:val="202122"/>
          <w:sz w:val="24"/>
          <w:szCs w:val="24"/>
        </w:rPr>
        <w:t>. Sin descendientes. Le sucedió la hermana del V marqués, su tía carnal.</w:t>
      </w:r>
    </w:p>
    <w:p w:rsidR="007B0305" w:rsidRPr="00D852B5" w:rsidRDefault="007B0305" w:rsidP="007B0305">
      <w:pPr>
        <w:numPr>
          <w:ilvl w:val="0"/>
          <w:numId w:val="20"/>
        </w:numPr>
        <w:shd w:val="clear" w:color="auto" w:fill="FFFFFF"/>
        <w:spacing w:before="100" w:beforeAutospacing="1" w:after="24" w:line="240" w:lineRule="auto"/>
        <w:ind w:left="384"/>
        <w:rPr>
          <w:rFonts w:ascii="Arial" w:hAnsi="Arial" w:cs="Arial"/>
          <w:color w:val="202122"/>
          <w:sz w:val="24"/>
          <w:szCs w:val="24"/>
        </w:rPr>
      </w:pPr>
      <w:r w:rsidRPr="00D852B5">
        <w:rPr>
          <w:rFonts w:ascii="Arial" w:hAnsi="Arial" w:cs="Arial"/>
          <w:color w:val="202122"/>
          <w:sz w:val="24"/>
          <w:szCs w:val="24"/>
        </w:rPr>
        <w:t>María Encarnación Maza y Echeverri, </w:t>
      </w:r>
      <w:r w:rsidRPr="00D852B5">
        <w:rPr>
          <w:rFonts w:ascii="Arial" w:hAnsi="Arial" w:cs="Arial"/>
          <w:bCs/>
          <w:color w:val="202122"/>
          <w:sz w:val="24"/>
          <w:szCs w:val="24"/>
        </w:rPr>
        <w:t>IX marquesa de Casablanca</w:t>
      </w:r>
      <w:r w:rsidRPr="00D852B5">
        <w:rPr>
          <w:rFonts w:ascii="Arial" w:hAnsi="Arial" w:cs="Arial"/>
          <w:color w:val="202122"/>
          <w:sz w:val="24"/>
          <w:szCs w:val="24"/>
        </w:rPr>
        <w:t>. Casó con Antonio Díez de Rivera y Zapata. Le sucedió su hijo.</w:t>
      </w:r>
    </w:p>
    <w:p w:rsidR="007B0305" w:rsidRPr="00D852B5" w:rsidRDefault="007B0305" w:rsidP="007B0305">
      <w:pPr>
        <w:numPr>
          <w:ilvl w:val="0"/>
          <w:numId w:val="22"/>
        </w:numPr>
        <w:shd w:val="clear" w:color="auto" w:fill="FFFFFF"/>
        <w:spacing w:before="100" w:beforeAutospacing="1" w:after="24" w:line="240" w:lineRule="auto"/>
        <w:ind w:left="384"/>
        <w:rPr>
          <w:rFonts w:ascii="Arial" w:hAnsi="Arial" w:cs="Arial"/>
          <w:color w:val="202122"/>
          <w:sz w:val="24"/>
          <w:szCs w:val="24"/>
        </w:rPr>
      </w:pPr>
      <w:r w:rsidRPr="00D852B5">
        <w:rPr>
          <w:rFonts w:ascii="Arial" w:hAnsi="Arial" w:cs="Arial"/>
          <w:color w:val="202122"/>
          <w:sz w:val="24"/>
          <w:szCs w:val="24"/>
        </w:rPr>
        <w:t>Baltasar Díez de Rivera y Maza de Linaza y Zapata († en Granada en 1894), </w:t>
      </w:r>
      <w:r w:rsidRPr="00D852B5">
        <w:rPr>
          <w:rFonts w:ascii="Arial" w:hAnsi="Arial" w:cs="Arial"/>
          <w:bCs/>
          <w:color w:val="202122"/>
          <w:sz w:val="24"/>
          <w:szCs w:val="24"/>
        </w:rPr>
        <w:t>X marqués de Casablanca</w:t>
      </w:r>
      <w:r w:rsidRPr="00D852B5">
        <w:rPr>
          <w:rFonts w:ascii="Arial" w:hAnsi="Arial" w:cs="Arial"/>
          <w:color w:val="202122"/>
          <w:sz w:val="24"/>
          <w:szCs w:val="24"/>
        </w:rPr>
        <w:t>. Casó con María Josefa Muro y Colmenares. Le sucedió su hijo.</w:t>
      </w:r>
    </w:p>
    <w:p w:rsidR="007B0305" w:rsidRPr="00D852B5" w:rsidRDefault="007B0305" w:rsidP="007B0305">
      <w:pPr>
        <w:numPr>
          <w:ilvl w:val="0"/>
          <w:numId w:val="24"/>
        </w:numPr>
        <w:shd w:val="clear" w:color="auto" w:fill="FFFFFF"/>
        <w:spacing w:before="100" w:beforeAutospacing="1" w:after="24" w:line="240" w:lineRule="auto"/>
        <w:ind w:left="384"/>
        <w:rPr>
          <w:rFonts w:ascii="Arial" w:hAnsi="Arial" w:cs="Arial"/>
          <w:color w:val="202122"/>
          <w:sz w:val="24"/>
          <w:szCs w:val="24"/>
        </w:rPr>
      </w:pPr>
      <w:r w:rsidRPr="00D852B5">
        <w:rPr>
          <w:rFonts w:ascii="Arial" w:hAnsi="Arial" w:cs="Arial"/>
          <w:color w:val="202122"/>
          <w:sz w:val="24"/>
          <w:szCs w:val="24"/>
        </w:rPr>
        <w:lastRenderedPageBreak/>
        <w:t>Antonio Díez de Rivera y Muro (n. en Granada en 1857), </w:t>
      </w:r>
      <w:r w:rsidRPr="00D852B5">
        <w:rPr>
          <w:rFonts w:ascii="Arial" w:hAnsi="Arial" w:cs="Arial"/>
          <w:bCs/>
          <w:color w:val="202122"/>
          <w:sz w:val="24"/>
          <w:szCs w:val="24"/>
        </w:rPr>
        <w:t>XI marqués de Casablanca</w:t>
      </w:r>
      <w:r w:rsidRPr="00D852B5">
        <w:rPr>
          <w:rFonts w:ascii="Arial" w:hAnsi="Arial" w:cs="Arial"/>
          <w:color w:val="202122"/>
          <w:sz w:val="24"/>
          <w:szCs w:val="24"/>
        </w:rPr>
        <w:t>. Fue nombrado alcalde de Granada por el General Miguel Primo de Rivera y Orbaneja, II marqués de Estella, jefe de gobierno dictatorial con Alfonso XIII. Casó con María Josefa Pérez de Herrasti y Pérez de Herrasti, hija de los III condes de Antillón. Sin descendientes. Le sucedió su hermana menor por renuncia de la hermana primogénita, María de la Encarnación, y fallecimiento de los demás hermanos:</w:t>
      </w:r>
    </w:p>
    <w:p w:rsidR="007B0305" w:rsidRPr="00D852B5" w:rsidRDefault="007B0305" w:rsidP="007B0305">
      <w:pPr>
        <w:numPr>
          <w:ilvl w:val="0"/>
          <w:numId w:val="26"/>
        </w:numPr>
        <w:shd w:val="clear" w:color="auto" w:fill="FFFFFF"/>
        <w:spacing w:before="100" w:beforeAutospacing="1" w:after="24" w:line="240" w:lineRule="auto"/>
        <w:ind w:left="384"/>
        <w:rPr>
          <w:rFonts w:ascii="Arial" w:hAnsi="Arial" w:cs="Arial"/>
          <w:color w:val="202122"/>
          <w:sz w:val="24"/>
          <w:szCs w:val="24"/>
        </w:rPr>
      </w:pPr>
      <w:r w:rsidRPr="00D852B5">
        <w:rPr>
          <w:rFonts w:ascii="Arial" w:hAnsi="Arial" w:cs="Arial"/>
          <w:color w:val="202122"/>
          <w:sz w:val="24"/>
          <w:szCs w:val="24"/>
        </w:rPr>
        <w:t>María Josefa Díez de Rivera y Muro (n. en 1865), </w:t>
      </w:r>
      <w:r w:rsidRPr="00D852B5">
        <w:rPr>
          <w:rFonts w:ascii="Arial" w:hAnsi="Arial" w:cs="Arial"/>
          <w:bCs/>
          <w:color w:val="202122"/>
          <w:sz w:val="24"/>
          <w:szCs w:val="24"/>
        </w:rPr>
        <w:t>XII marqués de Casablanca</w:t>
      </w:r>
      <w:r w:rsidRPr="00D852B5">
        <w:rPr>
          <w:rFonts w:ascii="Arial" w:hAnsi="Arial" w:cs="Arial"/>
          <w:color w:val="202122"/>
          <w:sz w:val="24"/>
          <w:szCs w:val="24"/>
        </w:rPr>
        <w:t>. Casó con su primo hermano y tío tercero, José Díez de Rivera y Muro. Le sucedió su hija</w:t>
      </w:r>
      <w:r w:rsidR="00D852B5" w:rsidRPr="00D852B5">
        <w:rPr>
          <w:rFonts w:ascii="Arial" w:hAnsi="Arial" w:cs="Arial"/>
          <w:color w:val="202122"/>
          <w:sz w:val="24"/>
          <w:szCs w:val="24"/>
        </w:rPr>
        <w:t>.</w:t>
      </w:r>
    </w:p>
    <w:p w:rsidR="007B0305" w:rsidRPr="00D852B5" w:rsidRDefault="007B0305" w:rsidP="00D852B5">
      <w:pPr>
        <w:numPr>
          <w:ilvl w:val="0"/>
          <w:numId w:val="28"/>
        </w:numPr>
        <w:shd w:val="clear" w:color="auto" w:fill="FFFFFF"/>
        <w:spacing w:before="100" w:beforeAutospacing="1" w:after="24" w:line="240" w:lineRule="auto"/>
        <w:ind w:left="384"/>
        <w:rPr>
          <w:rFonts w:ascii="Arial" w:hAnsi="Arial" w:cs="Arial"/>
          <w:color w:val="202122"/>
          <w:sz w:val="24"/>
          <w:szCs w:val="24"/>
        </w:rPr>
      </w:pPr>
      <w:r w:rsidRPr="00D852B5">
        <w:rPr>
          <w:rFonts w:ascii="Arial" w:hAnsi="Arial" w:cs="Arial"/>
          <w:color w:val="202122"/>
          <w:sz w:val="24"/>
          <w:szCs w:val="24"/>
        </w:rPr>
        <w:t>María Gracia Díez de Rivera y Díez de Rivera (n. en Granada en 1901-† en Granada en 1984)), </w:t>
      </w:r>
      <w:r w:rsidRPr="00D852B5">
        <w:rPr>
          <w:rFonts w:ascii="Arial" w:hAnsi="Arial" w:cs="Arial"/>
          <w:bCs/>
          <w:color w:val="202122"/>
          <w:sz w:val="24"/>
          <w:szCs w:val="24"/>
        </w:rPr>
        <w:t>XIII marqués de Casablanca</w:t>
      </w:r>
      <w:r w:rsidRPr="00D852B5">
        <w:rPr>
          <w:rFonts w:ascii="Arial" w:hAnsi="Arial" w:cs="Arial"/>
          <w:color w:val="202122"/>
          <w:sz w:val="24"/>
          <w:szCs w:val="24"/>
        </w:rPr>
        <w:t>.</w:t>
      </w:r>
      <w:r w:rsidR="00D852B5" w:rsidRPr="00D852B5">
        <w:rPr>
          <w:rFonts w:ascii="Arial" w:hAnsi="Arial" w:cs="Arial"/>
          <w:color w:val="202122"/>
          <w:sz w:val="24"/>
          <w:szCs w:val="24"/>
        </w:rPr>
        <w:t xml:space="preserve"> </w:t>
      </w:r>
      <w:r w:rsidRPr="00D852B5">
        <w:rPr>
          <w:rFonts w:ascii="Arial" w:hAnsi="Arial" w:cs="Arial"/>
          <w:color w:val="202122"/>
          <w:sz w:val="24"/>
          <w:szCs w:val="24"/>
        </w:rPr>
        <w:t xml:space="preserve">Casó con Carlos Zárate y Fernández de </w:t>
      </w:r>
      <w:proofErr w:type="spellStart"/>
      <w:r w:rsidRPr="00D852B5">
        <w:rPr>
          <w:rFonts w:ascii="Arial" w:hAnsi="Arial" w:cs="Arial"/>
          <w:color w:val="202122"/>
          <w:sz w:val="24"/>
          <w:szCs w:val="24"/>
        </w:rPr>
        <w:t>Liencres</w:t>
      </w:r>
      <w:proofErr w:type="spellEnd"/>
      <w:r w:rsidRPr="00D852B5">
        <w:rPr>
          <w:rFonts w:ascii="Arial" w:hAnsi="Arial" w:cs="Arial"/>
          <w:color w:val="202122"/>
          <w:sz w:val="24"/>
          <w:szCs w:val="24"/>
        </w:rPr>
        <w:t>, hijo de los condes de Santa Ana. Le sucedió su hijo:</w:t>
      </w:r>
    </w:p>
    <w:p w:rsidR="007B0305" w:rsidRPr="00D852B5" w:rsidRDefault="007B0305" w:rsidP="00D852B5">
      <w:pPr>
        <w:numPr>
          <w:ilvl w:val="0"/>
          <w:numId w:val="30"/>
        </w:numPr>
        <w:shd w:val="clear" w:color="auto" w:fill="FFFFFF"/>
        <w:spacing w:before="100" w:beforeAutospacing="1" w:after="24" w:line="240" w:lineRule="auto"/>
        <w:ind w:left="384"/>
        <w:rPr>
          <w:rFonts w:ascii="Arial" w:hAnsi="Arial" w:cs="Arial"/>
          <w:color w:val="202122"/>
          <w:sz w:val="24"/>
          <w:szCs w:val="24"/>
        </w:rPr>
      </w:pPr>
      <w:r w:rsidRPr="00D852B5">
        <w:rPr>
          <w:rFonts w:ascii="Arial" w:hAnsi="Arial" w:cs="Arial"/>
          <w:color w:val="202122"/>
          <w:sz w:val="24"/>
          <w:szCs w:val="24"/>
        </w:rPr>
        <w:t>Carlos Zárate y Díez de Rivera (n. en Granada en 1931-† en Granada en 2016), </w:t>
      </w:r>
      <w:r w:rsidRPr="00D852B5">
        <w:rPr>
          <w:rFonts w:ascii="Arial" w:hAnsi="Arial" w:cs="Arial"/>
          <w:bCs/>
          <w:color w:val="202122"/>
          <w:sz w:val="24"/>
          <w:szCs w:val="24"/>
        </w:rPr>
        <w:t>XIV marqués de Casablanca</w:t>
      </w:r>
      <w:r w:rsidRPr="00D852B5">
        <w:rPr>
          <w:rFonts w:ascii="Arial" w:hAnsi="Arial" w:cs="Arial"/>
          <w:color w:val="202122"/>
          <w:sz w:val="24"/>
          <w:szCs w:val="24"/>
        </w:rPr>
        <w:t>.</w:t>
      </w:r>
      <w:r w:rsidR="00D852B5" w:rsidRPr="00D852B5">
        <w:rPr>
          <w:rFonts w:ascii="Arial" w:hAnsi="Arial" w:cs="Arial"/>
          <w:color w:val="202122"/>
          <w:sz w:val="24"/>
          <w:szCs w:val="24"/>
        </w:rPr>
        <w:t xml:space="preserve"> </w:t>
      </w:r>
      <w:r w:rsidRPr="00D852B5">
        <w:rPr>
          <w:rFonts w:ascii="Arial" w:hAnsi="Arial" w:cs="Arial"/>
          <w:color w:val="202122"/>
          <w:sz w:val="24"/>
          <w:szCs w:val="24"/>
        </w:rPr>
        <w:t>Casó con Ana Marsans y Cantarell. Le sucedió su hija</w:t>
      </w:r>
      <w:r w:rsidR="00D852B5" w:rsidRPr="00D852B5">
        <w:rPr>
          <w:rFonts w:ascii="Arial" w:hAnsi="Arial" w:cs="Arial"/>
          <w:color w:val="202122"/>
          <w:sz w:val="24"/>
          <w:szCs w:val="24"/>
        </w:rPr>
        <w:t>.</w:t>
      </w:r>
    </w:p>
    <w:p w:rsidR="007B0305" w:rsidRPr="00D852B5" w:rsidRDefault="007B0305" w:rsidP="007B0305">
      <w:pPr>
        <w:numPr>
          <w:ilvl w:val="0"/>
          <w:numId w:val="32"/>
        </w:numPr>
        <w:shd w:val="clear" w:color="auto" w:fill="FFFFFF"/>
        <w:spacing w:before="100" w:beforeAutospacing="1" w:after="24" w:line="240" w:lineRule="auto"/>
        <w:ind w:left="384"/>
        <w:rPr>
          <w:rFonts w:ascii="Arial" w:hAnsi="Arial" w:cs="Arial"/>
          <w:color w:val="202122"/>
          <w:sz w:val="24"/>
          <w:szCs w:val="24"/>
        </w:rPr>
      </w:pPr>
      <w:r w:rsidRPr="00D852B5">
        <w:rPr>
          <w:rFonts w:ascii="Arial" w:hAnsi="Arial" w:cs="Arial"/>
          <w:color w:val="202122"/>
          <w:sz w:val="24"/>
          <w:szCs w:val="24"/>
        </w:rPr>
        <w:t xml:space="preserve">Ana María Zárate y </w:t>
      </w:r>
      <w:proofErr w:type="spellStart"/>
      <w:r w:rsidRPr="00D852B5">
        <w:rPr>
          <w:rFonts w:ascii="Arial" w:hAnsi="Arial" w:cs="Arial"/>
          <w:color w:val="202122"/>
          <w:sz w:val="24"/>
          <w:szCs w:val="24"/>
        </w:rPr>
        <w:t>Marsáns</w:t>
      </w:r>
      <w:proofErr w:type="spellEnd"/>
      <w:r w:rsidRPr="00D852B5">
        <w:rPr>
          <w:rFonts w:ascii="Arial" w:hAnsi="Arial" w:cs="Arial"/>
          <w:color w:val="202122"/>
          <w:sz w:val="24"/>
          <w:szCs w:val="24"/>
        </w:rPr>
        <w:t>, </w:t>
      </w:r>
      <w:r w:rsidRPr="00D852B5">
        <w:rPr>
          <w:rFonts w:ascii="Arial" w:hAnsi="Arial" w:cs="Arial"/>
          <w:bCs/>
          <w:color w:val="202122"/>
          <w:sz w:val="24"/>
          <w:szCs w:val="24"/>
        </w:rPr>
        <w:t>XV marquesa de Casablanca</w:t>
      </w:r>
      <w:r w:rsidRPr="00D852B5">
        <w:rPr>
          <w:rFonts w:ascii="Arial" w:hAnsi="Arial" w:cs="Arial"/>
          <w:color w:val="202122"/>
          <w:sz w:val="24"/>
          <w:szCs w:val="24"/>
        </w:rPr>
        <w:t>.</w:t>
      </w:r>
    </w:p>
    <w:p w:rsidR="007B0305" w:rsidRPr="006950F7" w:rsidRDefault="007B0305" w:rsidP="007B0305">
      <w:pPr>
        <w:spacing w:after="0" w:line="240" w:lineRule="auto"/>
        <w:rPr>
          <w:rFonts w:ascii="Arial" w:eastAsia="Times New Roman" w:hAnsi="Arial" w:cs="Arial"/>
          <w:sz w:val="24"/>
          <w:szCs w:val="24"/>
          <w:lang w:eastAsia="es-ES"/>
        </w:rPr>
      </w:pPr>
    </w:p>
    <w:p w:rsidR="006950F7" w:rsidRPr="00D852B5" w:rsidRDefault="00D852B5">
      <w:pPr>
        <w:rPr>
          <w:rFonts w:ascii="Arial" w:hAnsi="Arial" w:cs="Arial"/>
          <w:b/>
          <w:sz w:val="24"/>
          <w:szCs w:val="24"/>
        </w:rPr>
      </w:pPr>
      <w:r w:rsidRPr="00D852B5">
        <w:rPr>
          <w:rFonts w:ascii="Arial" w:hAnsi="Arial" w:cs="Arial"/>
          <w:b/>
          <w:sz w:val="24"/>
          <w:szCs w:val="24"/>
        </w:rPr>
        <w:t>Escudo de armas</w:t>
      </w:r>
    </w:p>
    <w:p w:rsidR="006950F7" w:rsidRPr="006950F7" w:rsidRDefault="006950F7" w:rsidP="006950F7">
      <w:pPr>
        <w:spacing w:line="240" w:lineRule="auto"/>
        <w:rPr>
          <w:rFonts w:ascii="Arial" w:eastAsia="Times New Roman" w:hAnsi="Arial" w:cs="Arial"/>
          <w:sz w:val="24"/>
          <w:szCs w:val="24"/>
          <w:lang w:eastAsia="es-ES"/>
        </w:rPr>
      </w:pPr>
      <w:r w:rsidRPr="006950F7">
        <w:rPr>
          <w:rFonts w:ascii="Arial" w:eastAsia="Times New Roman" w:hAnsi="Arial" w:cs="Arial"/>
          <w:sz w:val="24"/>
          <w:szCs w:val="24"/>
          <w:lang w:eastAsia="es-ES"/>
        </w:rPr>
        <w:t xml:space="preserve">El </w:t>
      </w:r>
      <w:r w:rsidRPr="006950F7">
        <w:rPr>
          <w:rFonts w:ascii="Arial" w:eastAsia="Times New Roman" w:hAnsi="Arial" w:cs="Arial"/>
          <w:bCs/>
          <w:sz w:val="24"/>
          <w:szCs w:val="24"/>
          <w:lang w:eastAsia="es-ES"/>
        </w:rPr>
        <w:t>escudo de armas original del Marquesado de Casablanca</w:t>
      </w:r>
      <w:r w:rsidRPr="006950F7">
        <w:rPr>
          <w:rFonts w:ascii="Arial" w:eastAsia="Times New Roman" w:hAnsi="Arial" w:cs="Arial"/>
          <w:sz w:val="24"/>
          <w:szCs w:val="24"/>
          <w:lang w:eastAsia="es-ES"/>
        </w:rPr>
        <w:t xml:space="preserve"> representa la alianza de los dos linajes que componían el apellido del primer titular: las armas de la familia </w:t>
      </w:r>
      <w:r w:rsidRPr="006950F7">
        <w:rPr>
          <w:rFonts w:ascii="Arial" w:eastAsia="Times New Roman" w:hAnsi="Arial" w:cs="Arial"/>
          <w:bCs/>
          <w:sz w:val="24"/>
          <w:szCs w:val="24"/>
          <w:lang w:eastAsia="es-ES"/>
        </w:rPr>
        <w:t>Maza</w:t>
      </w:r>
      <w:r w:rsidRPr="006950F7">
        <w:rPr>
          <w:rFonts w:ascii="Arial" w:eastAsia="Times New Roman" w:hAnsi="Arial" w:cs="Arial"/>
          <w:sz w:val="24"/>
          <w:szCs w:val="24"/>
          <w:lang w:eastAsia="es-ES"/>
        </w:rPr>
        <w:t xml:space="preserve"> y las de la célebre casa de </w:t>
      </w:r>
      <w:r w:rsidRPr="006950F7">
        <w:rPr>
          <w:rFonts w:ascii="Arial" w:eastAsia="Times New Roman" w:hAnsi="Arial" w:cs="Arial"/>
          <w:bCs/>
          <w:sz w:val="24"/>
          <w:szCs w:val="24"/>
          <w:lang w:eastAsia="es-ES"/>
        </w:rPr>
        <w:t>Mendoza</w:t>
      </w:r>
      <w:r w:rsidRPr="006950F7">
        <w:rPr>
          <w:rFonts w:ascii="Arial" w:eastAsia="Times New Roman" w:hAnsi="Arial" w:cs="Arial"/>
          <w:sz w:val="24"/>
          <w:szCs w:val="24"/>
          <w:lang w:eastAsia="es-ES"/>
        </w:rPr>
        <w:t xml:space="preserve">. Su diseño se organiza en un escudo con el </w:t>
      </w:r>
      <w:r w:rsidRPr="006950F7">
        <w:rPr>
          <w:rFonts w:ascii="Arial" w:eastAsia="Times New Roman" w:hAnsi="Arial" w:cs="Arial"/>
          <w:bCs/>
          <w:sz w:val="24"/>
          <w:szCs w:val="24"/>
          <w:lang w:eastAsia="es-ES"/>
        </w:rPr>
        <w:t>campo partido</w:t>
      </w:r>
      <w:r w:rsidRPr="006950F7">
        <w:rPr>
          <w:rFonts w:ascii="Arial" w:eastAsia="Times New Roman" w:hAnsi="Arial" w:cs="Arial"/>
          <w:sz w:val="24"/>
          <w:szCs w:val="24"/>
          <w:lang w:eastAsia="es-ES"/>
        </w:rPr>
        <w:t xml:space="preserve"> (dividido verticalmente en dos mitades):</w:t>
      </w:r>
    </w:p>
    <w:p w:rsidR="006950F7" w:rsidRDefault="000E7B52" w:rsidP="006950F7">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 xml:space="preserve">                        </w:t>
      </w:r>
      <w:r w:rsidR="006950F7" w:rsidRPr="006950F7">
        <w:rPr>
          <w:rFonts w:ascii="Arial" w:hAnsi="Arial" w:cs="Arial"/>
          <w:noProof/>
          <w:sz w:val="24"/>
          <w:szCs w:val="24"/>
        </w:rPr>
        <w:drawing>
          <wp:inline distT="0" distB="0" distL="0" distR="0">
            <wp:extent cx="1231900" cy="1409700"/>
            <wp:effectExtent l="0" t="0" r="6350" b="0"/>
            <wp:docPr id="2" name="Imagen 2" descr="C:\Users\User\AppData\Local\Microsoft\Windows\INetCache\Content.MSO\FCF4A7F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MSO\FCF4A7FE.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1900" cy="1409700"/>
                    </a:xfrm>
                    <a:prstGeom prst="rect">
                      <a:avLst/>
                    </a:prstGeom>
                    <a:noFill/>
                    <a:ln>
                      <a:noFill/>
                    </a:ln>
                  </pic:spPr>
                </pic:pic>
              </a:graphicData>
            </a:graphic>
          </wp:inline>
        </w:drawing>
      </w:r>
      <w:r w:rsidR="006950F7">
        <w:rPr>
          <w:rFonts w:ascii="Arial" w:eastAsia="Times New Roman" w:hAnsi="Arial" w:cs="Arial"/>
          <w:sz w:val="24"/>
          <w:szCs w:val="24"/>
          <w:lang w:eastAsia="es-ES"/>
        </w:rPr>
        <w:t xml:space="preserve">      </w:t>
      </w:r>
      <w:r w:rsidR="006950F7" w:rsidRPr="006950F7">
        <w:rPr>
          <w:rFonts w:ascii="Arial" w:hAnsi="Arial" w:cs="Arial"/>
          <w:noProof/>
          <w:sz w:val="24"/>
          <w:szCs w:val="24"/>
        </w:rPr>
        <w:drawing>
          <wp:inline distT="0" distB="0" distL="0" distR="0">
            <wp:extent cx="1060450" cy="1409700"/>
            <wp:effectExtent l="0" t="0" r="6350" b="0"/>
            <wp:docPr id="1" name="Imagen 1" descr="C:\Users\User\AppData\Local\Microsoft\Windows\INetCache\Content.MSO\7B8B94B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INetCache\Content.MSO\7B8B94BC.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0450" cy="1409700"/>
                    </a:xfrm>
                    <a:prstGeom prst="rect">
                      <a:avLst/>
                    </a:prstGeom>
                    <a:noFill/>
                    <a:ln>
                      <a:noFill/>
                    </a:ln>
                  </pic:spPr>
                </pic:pic>
              </a:graphicData>
            </a:graphic>
          </wp:inline>
        </w:drawing>
      </w:r>
    </w:p>
    <w:p w:rsidR="00D852B5" w:rsidRPr="006950F7" w:rsidRDefault="00D852B5" w:rsidP="006950F7">
      <w:pPr>
        <w:spacing w:after="0" w:line="240" w:lineRule="auto"/>
        <w:rPr>
          <w:rFonts w:ascii="Arial" w:eastAsia="Times New Roman" w:hAnsi="Arial" w:cs="Arial"/>
          <w:sz w:val="24"/>
          <w:szCs w:val="24"/>
          <w:lang w:eastAsia="es-ES"/>
        </w:rPr>
      </w:pPr>
    </w:p>
    <w:p w:rsidR="006950F7" w:rsidRPr="006950F7" w:rsidRDefault="006950F7" w:rsidP="006950F7">
      <w:pPr>
        <w:spacing w:line="240" w:lineRule="auto"/>
        <w:rPr>
          <w:rFonts w:ascii="Arial" w:eastAsia="Times New Roman" w:hAnsi="Arial" w:cs="Arial"/>
          <w:bCs/>
          <w:sz w:val="24"/>
          <w:szCs w:val="24"/>
          <w:lang w:eastAsia="es-ES"/>
        </w:rPr>
      </w:pPr>
      <w:r w:rsidRPr="006950F7">
        <w:rPr>
          <w:rFonts w:ascii="Arial" w:eastAsia="Times New Roman" w:hAnsi="Arial" w:cs="Arial"/>
          <w:bCs/>
          <w:sz w:val="24"/>
          <w:szCs w:val="24"/>
          <w:lang w:eastAsia="es-ES"/>
        </w:rPr>
        <w:t>Primer Cuartel (Lado izquierdo): Las armas de Maza</w:t>
      </w:r>
    </w:p>
    <w:p w:rsidR="006950F7" w:rsidRPr="006950F7" w:rsidRDefault="006950F7" w:rsidP="006950F7">
      <w:pPr>
        <w:numPr>
          <w:ilvl w:val="0"/>
          <w:numId w:val="5"/>
        </w:numPr>
        <w:spacing w:after="0" w:line="240" w:lineRule="auto"/>
        <w:ind w:left="0"/>
        <w:rPr>
          <w:rFonts w:ascii="Arial" w:eastAsia="Times New Roman" w:hAnsi="Arial" w:cs="Arial"/>
          <w:sz w:val="24"/>
          <w:szCs w:val="24"/>
          <w:lang w:eastAsia="es-ES"/>
        </w:rPr>
      </w:pPr>
      <w:r w:rsidRPr="006950F7">
        <w:rPr>
          <w:rFonts w:ascii="Arial" w:eastAsia="Times New Roman" w:hAnsi="Arial" w:cs="Arial"/>
          <w:bCs/>
          <w:sz w:val="24"/>
          <w:szCs w:val="24"/>
          <w:lang w:eastAsia="es-ES"/>
        </w:rPr>
        <w:t>Blasón:</w:t>
      </w:r>
      <w:r w:rsidRPr="006950F7">
        <w:rPr>
          <w:rFonts w:ascii="Arial" w:eastAsia="Times New Roman" w:hAnsi="Arial" w:cs="Arial"/>
          <w:sz w:val="24"/>
          <w:szCs w:val="24"/>
          <w:lang w:eastAsia="es-ES"/>
        </w:rPr>
        <w:t xml:space="preserve"> En campo de azur (azul), </w:t>
      </w:r>
      <w:r w:rsidRPr="006950F7">
        <w:rPr>
          <w:rFonts w:ascii="Arial" w:eastAsia="Times New Roman" w:hAnsi="Arial" w:cs="Arial"/>
          <w:bCs/>
          <w:sz w:val="24"/>
          <w:szCs w:val="24"/>
          <w:lang w:eastAsia="es-ES"/>
        </w:rPr>
        <w:t>cinco mazas de guerra de oro</w:t>
      </w:r>
      <w:r w:rsidRPr="006950F7">
        <w:rPr>
          <w:rFonts w:ascii="Arial" w:eastAsia="Times New Roman" w:hAnsi="Arial" w:cs="Arial"/>
          <w:sz w:val="24"/>
          <w:szCs w:val="24"/>
          <w:lang w:eastAsia="es-ES"/>
        </w:rPr>
        <w:t>.</w:t>
      </w:r>
    </w:p>
    <w:p w:rsidR="006950F7" w:rsidRDefault="006950F7" w:rsidP="006950F7">
      <w:pPr>
        <w:numPr>
          <w:ilvl w:val="0"/>
          <w:numId w:val="5"/>
        </w:numPr>
        <w:spacing w:after="0" w:line="240" w:lineRule="auto"/>
        <w:ind w:left="0"/>
        <w:rPr>
          <w:rFonts w:ascii="Arial" w:eastAsia="Times New Roman" w:hAnsi="Arial" w:cs="Arial"/>
          <w:sz w:val="24"/>
          <w:szCs w:val="24"/>
          <w:lang w:eastAsia="es-ES"/>
        </w:rPr>
      </w:pPr>
      <w:r w:rsidRPr="006950F7">
        <w:rPr>
          <w:rFonts w:ascii="Arial" w:eastAsia="Times New Roman" w:hAnsi="Arial" w:cs="Arial"/>
          <w:bCs/>
          <w:sz w:val="24"/>
          <w:szCs w:val="24"/>
          <w:lang w:eastAsia="es-ES"/>
        </w:rPr>
        <w:t>Disposición:</w:t>
      </w:r>
      <w:r w:rsidRPr="006950F7">
        <w:rPr>
          <w:rFonts w:ascii="Arial" w:eastAsia="Times New Roman" w:hAnsi="Arial" w:cs="Arial"/>
          <w:sz w:val="24"/>
          <w:szCs w:val="24"/>
          <w:lang w:eastAsia="es-ES"/>
        </w:rPr>
        <w:t xml:space="preserve"> Se encuentran colocadas en posición de sotuer o quincunce, es decir, distribuidas en formato </w:t>
      </w:r>
      <w:r w:rsidRPr="006950F7">
        <w:rPr>
          <w:rFonts w:ascii="Arial" w:eastAsia="Times New Roman" w:hAnsi="Arial" w:cs="Arial"/>
          <w:bCs/>
          <w:sz w:val="24"/>
          <w:szCs w:val="24"/>
          <w:lang w:eastAsia="es-ES"/>
        </w:rPr>
        <w:t>dos, una y dos</w:t>
      </w:r>
      <w:r w:rsidRPr="006950F7">
        <w:rPr>
          <w:rFonts w:ascii="Arial" w:eastAsia="Times New Roman" w:hAnsi="Arial" w:cs="Arial"/>
          <w:sz w:val="24"/>
          <w:szCs w:val="24"/>
          <w:lang w:eastAsia="es-ES"/>
        </w:rPr>
        <w:t>. Es una clara referencia heráldica al apellido familiar.</w:t>
      </w:r>
    </w:p>
    <w:p w:rsidR="00D852B5" w:rsidRPr="006950F7" w:rsidRDefault="00D852B5" w:rsidP="00D852B5">
      <w:pPr>
        <w:spacing w:after="0" w:line="240" w:lineRule="auto"/>
        <w:rPr>
          <w:rFonts w:ascii="Arial" w:eastAsia="Times New Roman" w:hAnsi="Arial" w:cs="Arial"/>
          <w:sz w:val="24"/>
          <w:szCs w:val="24"/>
          <w:lang w:eastAsia="es-ES"/>
        </w:rPr>
      </w:pPr>
    </w:p>
    <w:p w:rsidR="006950F7" w:rsidRPr="006950F7" w:rsidRDefault="006950F7" w:rsidP="006950F7">
      <w:pPr>
        <w:spacing w:line="240" w:lineRule="auto"/>
        <w:rPr>
          <w:rFonts w:ascii="Arial" w:eastAsia="Times New Roman" w:hAnsi="Arial" w:cs="Arial"/>
          <w:bCs/>
          <w:sz w:val="24"/>
          <w:szCs w:val="24"/>
          <w:lang w:eastAsia="es-ES"/>
        </w:rPr>
      </w:pPr>
      <w:r w:rsidRPr="006950F7">
        <w:rPr>
          <w:rFonts w:ascii="Arial" w:eastAsia="Times New Roman" w:hAnsi="Arial" w:cs="Arial"/>
          <w:bCs/>
          <w:sz w:val="24"/>
          <w:szCs w:val="24"/>
          <w:lang w:eastAsia="es-ES"/>
        </w:rPr>
        <w:t>Segundo Cuartel (Lado derecho): Las armas de Mendoza</w:t>
      </w:r>
    </w:p>
    <w:p w:rsidR="006950F7" w:rsidRPr="006950F7" w:rsidRDefault="006950F7" w:rsidP="006950F7">
      <w:pPr>
        <w:spacing w:line="240" w:lineRule="auto"/>
        <w:rPr>
          <w:rFonts w:ascii="Arial" w:eastAsia="Times New Roman" w:hAnsi="Arial" w:cs="Arial"/>
          <w:sz w:val="24"/>
          <w:szCs w:val="24"/>
          <w:lang w:eastAsia="es-ES"/>
        </w:rPr>
      </w:pPr>
      <w:r w:rsidRPr="006950F7">
        <w:rPr>
          <w:rFonts w:ascii="Arial" w:eastAsia="Times New Roman" w:hAnsi="Arial" w:cs="Arial"/>
          <w:sz w:val="24"/>
          <w:szCs w:val="24"/>
          <w:lang w:eastAsia="es-ES"/>
        </w:rPr>
        <w:t xml:space="preserve">Presenta el clásico e inconfundible blasón de la Casa de Mendoza, dispuesto en formato </w:t>
      </w:r>
      <w:r w:rsidRPr="006950F7">
        <w:rPr>
          <w:rFonts w:ascii="Arial" w:eastAsia="Times New Roman" w:hAnsi="Arial" w:cs="Arial"/>
          <w:bCs/>
          <w:sz w:val="24"/>
          <w:szCs w:val="24"/>
          <w:lang w:eastAsia="es-ES"/>
        </w:rPr>
        <w:t>cuartelado en sotuer</w:t>
      </w:r>
      <w:r w:rsidRPr="006950F7">
        <w:rPr>
          <w:rFonts w:ascii="Arial" w:eastAsia="Times New Roman" w:hAnsi="Arial" w:cs="Arial"/>
          <w:sz w:val="24"/>
          <w:szCs w:val="24"/>
          <w:lang w:eastAsia="es-ES"/>
        </w:rPr>
        <w:t xml:space="preserve"> (dividido por dos líneas diagonales en forma de aspa):</w:t>
      </w:r>
    </w:p>
    <w:p w:rsidR="006950F7" w:rsidRPr="006950F7" w:rsidRDefault="006950F7" w:rsidP="006950F7">
      <w:pPr>
        <w:numPr>
          <w:ilvl w:val="0"/>
          <w:numId w:val="6"/>
        </w:numPr>
        <w:spacing w:after="0" w:line="240" w:lineRule="auto"/>
        <w:ind w:left="0"/>
        <w:rPr>
          <w:rFonts w:ascii="Arial" w:eastAsia="Times New Roman" w:hAnsi="Arial" w:cs="Arial"/>
          <w:sz w:val="24"/>
          <w:szCs w:val="24"/>
          <w:lang w:eastAsia="es-ES"/>
        </w:rPr>
      </w:pPr>
      <w:r w:rsidRPr="006950F7">
        <w:rPr>
          <w:rFonts w:ascii="Arial" w:eastAsia="Times New Roman" w:hAnsi="Arial" w:cs="Arial"/>
          <w:bCs/>
          <w:sz w:val="24"/>
          <w:szCs w:val="24"/>
          <w:lang w:eastAsia="es-ES"/>
        </w:rPr>
        <w:lastRenderedPageBreak/>
        <w:t>Secciones superior e inferior (1.º y 4.º):</w:t>
      </w:r>
      <w:r w:rsidRPr="006950F7">
        <w:rPr>
          <w:rFonts w:ascii="Arial" w:eastAsia="Times New Roman" w:hAnsi="Arial" w:cs="Arial"/>
          <w:sz w:val="24"/>
          <w:szCs w:val="24"/>
          <w:lang w:eastAsia="es-ES"/>
        </w:rPr>
        <w:t xml:space="preserve"> En campo de gules (rojo), una </w:t>
      </w:r>
      <w:r w:rsidRPr="006950F7">
        <w:rPr>
          <w:rFonts w:ascii="Arial" w:eastAsia="Times New Roman" w:hAnsi="Arial" w:cs="Arial"/>
          <w:bCs/>
          <w:sz w:val="24"/>
          <w:szCs w:val="24"/>
          <w:lang w:eastAsia="es-ES"/>
        </w:rPr>
        <w:t>banda de sinople (verde) perfilada de oro</w:t>
      </w:r>
      <w:r w:rsidRPr="006950F7">
        <w:rPr>
          <w:rFonts w:ascii="Arial" w:eastAsia="Times New Roman" w:hAnsi="Arial" w:cs="Arial"/>
          <w:sz w:val="24"/>
          <w:szCs w:val="24"/>
          <w:lang w:eastAsia="es-ES"/>
        </w:rPr>
        <w:t>.</w:t>
      </w:r>
    </w:p>
    <w:p w:rsidR="006950F7" w:rsidRDefault="006950F7" w:rsidP="006950F7">
      <w:pPr>
        <w:numPr>
          <w:ilvl w:val="0"/>
          <w:numId w:val="6"/>
        </w:numPr>
        <w:spacing w:after="0" w:line="240" w:lineRule="auto"/>
        <w:ind w:left="0"/>
        <w:rPr>
          <w:rFonts w:ascii="Arial" w:eastAsia="Times New Roman" w:hAnsi="Arial" w:cs="Arial"/>
          <w:sz w:val="24"/>
          <w:szCs w:val="24"/>
          <w:lang w:eastAsia="es-ES"/>
        </w:rPr>
      </w:pPr>
      <w:r w:rsidRPr="006950F7">
        <w:rPr>
          <w:rFonts w:ascii="Arial" w:eastAsia="Times New Roman" w:hAnsi="Arial" w:cs="Arial"/>
          <w:bCs/>
          <w:sz w:val="24"/>
          <w:szCs w:val="24"/>
          <w:lang w:eastAsia="es-ES"/>
        </w:rPr>
        <w:t>Secciones laterales (2.º y 3.º):</w:t>
      </w:r>
      <w:r w:rsidRPr="006950F7">
        <w:rPr>
          <w:rFonts w:ascii="Arial" w:eastAsia="Times New Roman" w:hAnsi="Arial" w:cs="Arial"/>
          <w:sz w:val="24"/>
          <w:szCs w:val="24"/>
          <w:lang w:eastAsia="es-ES"/>
        </w:rPr>
        <w:t xml:space="preserve"> En campo de oro, la salutación angélica </w:t>
      </w:r>
      <w:r w:rsidRPr="006950F7">
        <w:rPr>
          <w:rFonts w:ascii="Arial" w:eastAsia="Times New Roman" w:hAnsi="Arial" w:cs="Arial"/>
          <w:bCs/>
          <w:sz w:val="24"/>
          <w:szCs w:val="24"/>
          <w:lang w:eastAsia="es-ES"/>
        </w:rPr>
        <w:t>"AVE MARIA GRATIA PLENA"</w:t>
      </w:r>
      <w:r w:rsidRPr="006950F7">
        <w:rPr>
          <w:rFonts w:ascii="Arial" w:eastAsia="Times New Roman" w:hAnsi="Arial" w:cs="Arial"/>
          <w:sz w:val="24"/>
          <w:szCs w:val="24"/>
          <w:lang w:eastAsia="es-ES"/>
        </w:rPr>
        <w:t xml:space="preserve"> escrita en letras de azur (azul).</w:t>
      </w:r>
    </w:p>
    <w:p w:rsidR="00D852B5" w:rsidRPr="006950F7" w:rsidRDefault="00D852B5" w:rsidP="00D852B5">
      <w:pPr>
        <w:spacing w:after="0" w:line="240" w:lineRule="auto"/>
        <w:rPr>
          <w:rFonts w:ascii="Arial" w:eastAsia="Times New Roman" w:hAnsi="Arial" w:cs="Arial"/>
          <w:sz w:val="24"/>
          <w:szCs w:val="24"/>
          <w:lang w:eastAsia="es-ES"/>
        </w:rPr>
      </w:pPr>
    </w:p>
    <w:p w:rsidR="006950F7" w:rsidRPr="006950F7" w:rsidRDefault="006950F7" w:rsidP="006950F7">
      <w:pPr>
        <w:spacing w:line="240" w:lineRule="auto"/>
        <w:rPr>
          <w:rFonts w:ascii="Arial" w:eastAsia="Times New Roman" w:hAnsi="Arial" w:cs="Arial"/>
          <w:b/>
          <w:bCs/>
          <w:sz w:val="24"/>
          <w:szCs w:val="24"/>
          <w:lang w:eastAsia="es-ES"/>
        </w:rPr>
      </w:pPr>
      <w:r w:rsidRPr="006950F7">
        <w:rPr>
          <w:rFonts w:ascii="Arial" w:eastAsia="Times New Roman" w:hAnsi="Arial" w:cs="Arial"/>
          <w:b/>
          <w:bCs/>
          <w:sz w:val="24"/>
          <w:szCs w:val="24"/>
          <w:lang w:eastAsia="es-ES"/>
        </w:rPr>
        <w:t>Modificaciones Posteriores</w:t>
      </w:r>
    </w:p>
    <w:p w:rsidR="006950F7" w:rsidRPr="00D852B5" w:rsidRDefault="006950F7" w:rsidP="00D852B5">
      <w:pPr>
        <w:spacing w:line="240" w:lineRule="auto"/>
        <w:rPr>
          <w:rFonts w:ascii="Arial" w:eastAsia="Times New Roman" w:hAnsi="Arial" w:cs="Arial"/>
          <w:sz w:val="24"/>
          <w:szCs w:val="24"/>
          <w:lang w:eastAsia="es-ES"/>
        </w:rPr>
      </w:pPr>
      <w:r w:rsidRPr="006950F7">
        <w:rPr>
          <w:rFonts w:ascii="Arial" w:eastAsia="Times New Roman" w:hAnsi="Arial" w:cs="Arial"/>
          <w:sz w:val="24"/>
          <w:szCs w:val="24"/>
          <w:lang w:eastAsia="es-ES"/>
        </w:rPr>
        <w:t xml:space="preserve">Es importante señalar que el escudo labrado en piedra que se conserva hoy en algunas de sus antiguas propiedades andaluzas (como el Cortijo de Casablanca en Vícar) cambió con los siglos. Tras el fallecimiento sin descendencia del V Marqués, el título pasó a su hermana, casada con la familia </w:t>
      </w:r>
      <w:r w:rsidRPr="006950F7">
        <w:rPr>
          <w:rFonts w:ascii="Arial" w:eastAsia="Times New Roman" w:hAnsi="Arial" w:cs="Arial"/>
          <w:bCs/>
          <w:sz w:val="24"/>
          <w:szCs w:val="24"/>
          <w:lang w:eastAsia="es-ES"/>
        </w:rPr>
        <w:t>Díez de Rivera</w:t>
      </w:r>
      <w:r w:rsidRPr="006950F7">
        <w:rPr>
          <w:rFonts w:ascii="Arial" w:eastAsia="Times New Roman" w:hAnsi="Arial" w:cs="Arial"/>
          <w:sz w:val="24"/>
          <w:szCs w:val="24"/>
          <w:lang w:eastAsia="es-ES"/>
        </w:rPr>
        <w:t>, lo que provocó la incorporación de las armas de los Rivera en el blasó</w:t>
      </w:r>
      <w:bookmarkStart w:id="0" w:name="_GoBack"/>
      <w:bookmarkEnd w:id="0"/>
      <w:r w:rsidRPr="006950F7">
        <w:rPr>
          <w:rFonts w:ascii="Arial" w:eastAsia="Times New Roman" w:hAnsi="Arial" w:cs="Arial"/>
          <w:sz w:val="24"/>
          <w:szCs w:val="24"/>
          <w:lang w:eastAsia="es-ES"/>
        </w:rPr>
        <w:t>n de la propiedad.</w:t>
      </w:r>
    </w:p>
    <w:sectPr w:rsidR="006950F7" w:rsidRPr="00D852B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10FCA"/>
    <w:multiLevelType w:val="multilevel"/>
    <w:tmpl w:val="C4E88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AA08E1"/>
    <w:multiLevelType w:val="multilevel"/>
    <w:tmpl w:val="88FA4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DA60B1"/>
    <w:multiLevelType w:val="multilevel"/>
    <w:tmpl w:val="6548E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2A277A"/>
    <w:multiLevelType w:val="multilevel"/>
    <w:tmpl w:val="45E27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507287"/>
    <w:multiLevelType w:val="multilevel"/>
    <w:tmpl w:val="CDE20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571C73"/>
    <w:multiLevelType w:val="multilevel"/>
    <w:tmpl w:val="50902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6F0A26"/>
    <w:multiLevelType w:val="multilevel"/>
    <w:tmpl w:val="0408E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661393"/>
    <w:multiLevelType w:val="multilevel"/>
    <w:tmpl w:val="5B0E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0B00BB"/>
    <w:multiLevelType w:val="multilevel"/>
    <w:tmpl w:val="59F0E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940DF9"/>
    <w:multiLevelType w:val="multilevel"/>
    <w:tmpl w:val="841EF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3D4D44"/>
    <w:multiLevelType w:val="multilevel"/>
    <w:tmpl w:val="D318E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C414CC"/>
    <w:multiLevelType w:val="multilevel"/>
    <w:tmpl w:val="0A523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180E0F"/>
    <w:multiLevelType w:val="multilevel"/>
    <w:tmpl w:val="17E4E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C56A29"/>
    <w:multiLevelType w:val="multilevel"/>
    <w:tmpl w:val="0A1A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B1650B8"/>
    <w:multiLevelType w:val="multilevel"/>
    <w:tmpl w:val="CB306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DB1AE7"/>
    <w:multiLevelType w:val="multilevel"/>
    <w:tmpl w:val="962C9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136B1E"/>
    <w:multiLevelType w:val="multilevel"/>
    <w:tmpl w:val="774AB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265805"/>
    <w:multiLevelType w:val="multilevel"/>
    <w:tmpl w:val="0E74D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C37064F"/>
    <w:multiLevelType w:val="multilevel"/>
    <w:tmpl w:val="79DE9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A15992"/>
    <w:multiLevelType w:val="multilevel"/>
    <w:tmpl w:val="011CF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294549"/>
    <w:multiLevelType w:val="multilevel"/>
    <w:tmpl w:val="680C1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13F6F31"/>
    <w:multiLevelType w:val="multilevel"/>
    <w:tmpl w:val="D990F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2EE00A5"/>
    <w:multiLevelType w:val="multilevel"/>
    <w:tmpl w:val="DD6A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030E44"/>
    <w:multiLevelType w:val="multilevel"/>
    <w:tmpl w:val="FE4AE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C80300F"/>
    <w:multiLevelType w:val="multilevel"/>
    <w:tmpl w:val="E954F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FB11A89"/>
    <w:multiLevelType w:val="multilevel"/>
    <w:tmpl w:val="54D4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00E1F8D"/>
    <w:multiLevelType w:val="multilevel"/>
    <w:tmpl w:val="2408A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021E57"/>
    <w:multiLevelType w:val="multilevel"/>
    <w:tmpl w:val="43E87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5C71D64"/>
    <w:multiLevelType w:val="multilevel"/>
    <w:tmpl w:val="56B82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6B7127E"/>
    <w:multiLevelType w:val="multilevel"/>
    <w:tmpl w:val="2096A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71D6A99"/>
    <w:multiLevelType w:val="multilevel"/>
    <w:tmpl w:val="60FAA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FB2957"/>
    <w:multiLevelType w:val="multilevel"/>
    <w:tmpl w:val="720E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22"/>
  </w:num>
  <w:num w:numId="3">
    <w:abstractNumId w:val="16"/>
  </w:num>
  <w:num w:numId="4">
    <w:abstractNumId w:val="26"/>
  </w:num>
  <w:num w:numId="5">
    <w:abstractNumId w:val="5"/>
  </w:num>
  <w:num w:numId="6">
    <w:abstractNumId w:val="14"/>
  </w:num>
  <w:num w:numId="7">
    <w:abstractNumId w:val="8"/>
  </w:num>
  <w:num w:numId="8">
    <w:abstractNumId w:val="15"/>
  </w:num>
  <w:num w:numId="9">
    <w:abstractNumId w:val="7"/>
  </w:num>
  <w:num w:numId="10">
    <w:abstractNumId w:val="0"/>
  </w:num>
  <w:num w:numId="11">
    <w:abstractNumId w:val="1"/>
  </w:num>
  <w:num w:numId="12">
    <w:abstractNumId w:val="19"/>
  </w:num>
  <w:num w:numId="13">
    <w:abstractNumId w:val="20"/>
  </w:num>
  <w:num w:numId="14">
    <w:abstractNumId w:val="10"/>
  </w:num>
  <w:num w:numId="15">
    <w:abstractNumId w:val="13"/>
  </w:num>
  <w:num w:numId="16">
    <w:abstractNumId w:val="9"/>
  </w:num>
  <w:num w:numId="17">
    <w:abstractNumId w:val="21"/>
  </w:num>
  <w:num w:numId="18">
    <w:abstractNumId w:val="27"/>
  </w:num>
  <w:num w:numId="19">
    <w:abstractNumId w:val="25"/>
  </w:num>
  <w:num w:numId="20">
    <w:abstractNumId w:val="23"/>
  </w:num>
  <w:num w:numId="21">
    <w:abstractNumId w:val="30"/>
  </w:num>
  <w:num w:numId="22">
    <w:abstractNumId w:val="4"/>
  </w:num>
  <w:num w:numId="23">
    <w:abstractNumId w:val="24"/>
  </w:num>
  <w:num w:numId="24">
    <w:abstractNumId w:val="31"/>
  </w:num>
  <w:num w:numId="25">
    <w:abstractNumId w:val="11"/>
  </w:num>
  <w:num w:numId="26">
    <w:abstractNumId w:val="2"/>
  </w:num>
  <w:num w:numId="27">
    <w:abstractNumId w:val="28"/>
  </w:num>
  <w:num w:numId="28">
    <w:abstractNumId w:val="29"/>
  </w:num>
  <w:num w:numId="29">
    <w:abstractNumId w:val="3"/>
  </w:num>
  <w:num w:numId="30">
    <w:abstractNumId w:val="17"/>
  </w:num>
  <w:num w:numId="31">
    <w:abstractNumId w:val="18"/>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0F7"/>
    <w:rsid w:val="000E7B52"/>
    <w:rsid w:val="002C05E6"/>
    <w:rsid w:val="006950F7"/>
    <w:rsid w:val="007B0305"/>
    <w:rsid w:val="00832F89"/>
    <w:rsid w:val="009C1769"/>
    <w:rsid w:val="00D852B5"/>
    <w:rsid w:val="00E815B0"/>
    <w:rsid w:val="00F50987"/>
    <w:rsid w:val="00F652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C3E27B-D656-4BBD-97C1-36F5DDCF5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05E6"/>
  </w:style>
  <w:style w:type="paragraph" w:styleId="Ttulo2">
    <w:name w:val="heading 2"/>
    <w:basedOn w:val="Normal"/>
    <w:link w:val="Ttulo2Car"/>
    <w:uiPriority w:val="9"/>
    <w:qFormat/>
    <w:rsid w:val="00E815B0"/>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05E6"/>
    <w:pPr>
      <w:ind w:left="720"/>
      <w:contextualSpacing/>
    </w:pPr>
  </w:style>
  <w:style w:type="character" w:styleId="Textoennegrita">
    <w:name w:val="Strong"/>
    <w:basedOn w:val="Fuentedeprrafopredeter"/>
    <w:uiPriority w:val="22"/>
    <w:qFormat/>
    <w:rsid w:val="006950F7"/>
    <w:rPr>
      <w:b/>
      <w:bCs/>
    </w:rPr>
  </w:style>
  <w:style w:type="character" w:styleId="Hipervnculo">
    <w:name w:val="Hyperlink"/>
    <w:basedOn w:val="Fuentedeprrafopredeter"/>
    <w:uiPriority w:val="99"/>
    <w:semiHidden/>
    <w:unhideWhenUsed/>
    <w:rsid w:val="006950F7"/>
    <w:rPr>
      <w:color w:val="0000FF"/>
      <w:u w:val="single"/>
    </w:rPr>
  </w:style>
  <w:style w:type="paragraph" w:customStyle="1" w:styleId="z1qcye">
    <w:name w:val="z1qcye"/>
    <w:basedOn w:val="Normal"/>
    <w:rsid w:val="006950F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inqyif">
    <w:name w:val="inqyif"/>
    <w:basedOn w:val="Fuentedeprrafopredeter"/>
    <w:rsid w:val="006950F7"/>
  </w:style>
  <w:style w:type="paragraph" w:styleId="NormalWeb">
    <w:name w:val="Normal (Web)"/>
    <w:basedOn w:val="Normal"/>
    <w:uiPriority w:val="99"/>
    <w:unhideWhenUsed/>
    <w:rsid w:val="00E815B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rsid w:val="00E815B0"/>
    <w:rPr>
      <w:rFonts w:ascii="Times New Roman" w:eastAsia="Times New Roman" w:hAnsi="Times New Roman" w:cs="Times New Roman"/>
      <w:b/>
      <w:bCs/>
      <w:sz w:val="36"/>
      <w:szCs w:val="3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3063664">
      <w:bodyDiv w:val="1"/>
      <w:marLeft w:val="0"/>
      <w:marRight w:val="0"/>
      <w:marTop w:val="0"/>
      <w:marBottom w:val="0"/>
      <w:divBdr>
        <w:top w:val="none" w:sz="0" w:space="0" w:color="auto"/>
        <w:left w:val="none" w:sz="0" w:space="0" w:color="auto"/>
        <w:bottom w:val="none" w:sz="0" w:space="0" w:color="auto"/>
        <w:right w:val="none" w:sz="0" w:space="0" w:color="auto"/>
      </w:divBdr>
      <w:divsChild>
        <w:div w:id="1250189177">
          <w:marLeft w:val="0"/>
          <w:marRight w:val="0"/>
          <w:marTop w:val="360"/>
          <w:marBottom w:val="180"/>
          <w:divBdr>
            <w:top w:val="none" w:sz="0" w:space="0" w:color="auto"/>
            <w:left w:val="none" w:sz="0" w:space="0" w:color="auto"/>
            <w:bottom w:val="none" w:sz="0" w:space="0" w:color="auto"/>
            <w:right w:val="none" w:sz="0" w:space="0" w:color="auto"/>
          </w:divBdr>
        </w:div>
        <w:div w:id="1693340068">
          <w:marLeft w:val="0"/>
          <w:marRight w:val="0"/>
          <w:marTop w:val="360"/>
          <w:marBottom w:val="180"/>
          <w:divBdr>
            <w:top w:val="none" w:sz="0" w:space="0" w:color="auto"/>
            <w:left w:val="none" w:sz="0" w:space="0" w:color="auto"/>
            <w:bottom w:val="none" w:sz="0" w:space="0" w:color="auto"/>
            <w:right w:val="none" w:sz="0" w:space="0" w:color="auto"/>
          </w:divBdr>
        </w:div>
        <w:div w:id="472986227">
          <w:marLeft w:val="0"/>
          <w:marRight w:val="0"/>
          <w:marTop w:val="180"/>
          <w:marBottom w:val="240"/>
          <w:divBdr>
            <w:top w:val="none" w:sz="0" w:space="0" w:color="auto"/>
            <w:left w:val="none" w:sz="0" w:space="0" w:color="auto"/>
            <w:bottom w:val="none" w:sz="0" w:space="0" w:color="auto"/>
            <w:right w:val="none" w:sz="0" w:space="0" w:color="auto"/>
          </w:divBdr>
        </w:div>
      </w:divsChild>
    </w:div>
    <w:div w:id="1194222854">
      <w:bodyDiv w:val="1"/>
      <w:marLeft w:val="0"/>
      <w:marRight w:val="0"/>
      <w:marTop w:val="0"/>
      <w:marBottom w:val="0"/>
      <w:divBdr>
        <w:top w:val="none" w:sz="0" w:space="0" w:color="auto"/>
        <w:left w:val="none" w:sz="0" w:space="0" w:color="auto"/>
        <w:bottom w:val="none" w:sz="0" w:space="0" w:color="auto"/>
        <w:right w:val="none" w:sz="0" w:space="0" w:color="auto"/>
      </w:divBdr>
      <w:divsChild>
        <w:div w:id="2128162227">
          <w:marLeft w:val="0"/>
          <w:marRight w:val="0"/>
          <w:marTop w:val="60"/>
          <w:marBottom w:val="60"/>
          <w:divBdr>
            <w:top w:val="none" w:sz="0" w:space="0" w:color="auto"/>
            <w:left w:val="none" w:sz="0" w:space="0" w:color="auto"/>
            <w:bottom w:val="single" w:sz="4" w:space="2" w:color="A2A9B1"/>
            <w:right w:val="none" w:sz="0" w:space="0" w:color="auto"/>
          </w:divBdr>
        </w:div>
      </w:divsChild>
    </w:div>
    <w:div w:id="1489441453">
      <w:bodyDiv w:val="1"/>
      <w:marLeft w:val="0"/>
      <w:marRight w:val="0"/>
      <w:marTop w:val="0"/>
      <w:marBottom w:val="0"/>
      <w:divBdr>
        <w:top w:val="none" w:sz="0" w:space="0" w:color="auto"/>
        <w:left w:val="none" w:sz="0" w:space="0" w:color="auto"/>
        <w:bottom w:val="none" w:sz="0" w:space="0" w:color="auto"/>
        <w:right w:val="none" w:sz="0" w:space="0" w:color="auto"/>
      </w:divBdr>
      <w:divsChild>
        <w:div w:id="1076708798">
          <w:marLeft w:val="0"/>
          <w:marRight w:val="0"/>
          <w:marTop w:val="60"/>
          <w:marBottom w:val="60"/>
          <w:divBdr>
            <w:top w:val="none" w:sz="0" w:space="0" w:color="auto"/>
            <w:left w:val="none" w:sz="0" w:space="0" w:color="auto"/>
            <w:bottom w:val="single" w:sz="4" w:space="2" w:color="A2A9B1"/>
            <w:right w:val="none" w:sz="0" w:space="0" w:color="auto"/>
          </w:divBdr>
        </w:div>
      </w:divsChild>
    </w:div>
    <w:div w:id="1849100252">
      <w:bodyDiv w:val="1"/>
      <w:marLeft w:val="0"/>
      <w:marRight w:val="0"/>
      <w:marTop w:val="0"/>
      <w:marBottom w:val="0"/>
      <w:divBdr>
        <w:top w:val="none" w:sz="0" w:space="0" w:color="auto"/>
        <w:left w:val="none" w:sz="0" w:space="0" w:color="auto"/>
        <w:bottom w:val="none" w:sz="0" w:space="0" w:color="auto"/>
        <w:right w:val="none" w:sz="0" w:space="0" w:color="auto"/>
      </w:divBdr>
      <w:divsChild>
        <w:div w:id="901720655">
          <w:marLeft w:val="0"/>
          <w:marRight w:val="0"/>
          <w:marTop w:val="0"/>
          <w:marBottom w:val="240"/>
          <w:divBdr>
            <w:top w:val="none" w:sz="0" w:space="0" w:color="auto"/>
            <w:left w:val="none" w:sz="0" w:space="0" w:color="auto"/>
            <w:bottom w:val="none" w:sz="0" w:space="0" w:color="auto"/>
            <w:right w:val="none" w:sz="0" w:space="0" w:color="auto"/>
          </w:divBdr>
        </w:div>
        <w:div w:id="822621081">
          <w:marLeft w:val="0"/>
          <w:marRight w:val="0"/>
          <w:marTop w:val="360"/>
          <w:marBottom w:val="180"/>
          <w:divBdr>
            <w:top w:val="none" w:sz="0" w:space="0" w:color="auto"/>
            <w:left w:val="none" w:sz="0" w:space="0" w:color="auto"/>
            <w:bottom w:val="none" w:sz="0" w:space="0" w:color="auto"/>
            <w:right w:val="none" w:sz="0" w:space="0" w:color="auto"/>
          </w:divBdr>
        </w:div>
        <w:div w:id="578977604">
          <w:marLeft w:val="0"/>
          <w:marRight w:val="0"/>
          <w:marTop w:val="0"/>
          <w:marBottom w:val="0"/>
          <w:divBdr>
            <w:top w:val="none" w:sz="0" w:space="0" w:color="auto"/>
            <w:left w:val="none" w:sz="0" w:space="0" w:color="auto"/>
            <w:bottom w:val="none" w:sz="0" w:space="0" w:color="auto"/>
            <w:right w:val="none" w:sz="0" w:space="0" w:color="auto"/>
          </w:divBdr>
        </w:div>
        <w:div w:id="59719175">
          <w:marLeft w:val="0"/>
          <w:marRight w:val="0"/>
          <w:marTop w:val="0"/>
          <w:marBottom w:val="0"/>
          <w:divBdr>
            <w:top w:val="none" w:sz="0" w:space="0" w:color="auto"/>
            <w:left w:val="none" w:sz="0" w:space="0" w:color="auto"/>
            <w:bottom w:val="none" w:sz="0" w:space="0" w:color="auto"/>
            <w:right w:val="none" w:sz="0" w:space="0" w:color="auto"/>
          </w:divBdr>
        </w:div>
        <w:div w:id="755857037">
          <w:marLeft w:val="0"/>
          <w:marRight w:val="0"/>
          <w:marTop w:val="0"/>
          <w:marBottom w:val="0"/>
          <w:divBdr>
            <w:top w:val="none" w:sz="0" w:space="0" w:color="auto"/>
            <w:left w:val="none" w:sz="0" w:space="0" w:color="auto"/>
            <w:bottom w:val="none" w:sz="0" w:space="0" w:color="auto"/>
            <w:right w:val="none" w:sz="0" w:space="0" w:color="auto"/>
          </w:divBdr>
        </w:div>
        <w:div w:id="592472324">
          <w:marLeft w:val="0"/>
          <w:marRight w:val="0"/>
          <w:marTop w:val="0"/>
          <w:marBottom w:val="0"/>
          <w:divBdr>
            <w:top w:val="none" w:sz="0" w:space="0" w:color="auto"/>
            <w:left w:val="none" w:sz="0" w:space="0" w:color="auto"/>
            <w:bottom w:val="none" w:sz="0" w:space="0" w:color="auto"/>
            <w:right w:val="none" w:sz="0" w:space="0" w:color="auto"/>
          </w:divBdr>
          <w:divsChild>
            <w:div w:id="403067620">
              <w:marLeft w:val="0"/>
              <w:marRight w:val="0"/>
              <w:marTop w:val="360"/>
              <w:marBottom w:val="180"/>
              <w:divBdr>
                <w:top w:val="none" w:sz="0" w:space="0" w:color="auto"/>
                <w:left w:val="none" w:sz="0" w:space="0" w:color="auto"/>
                <w:bottom w:val="none" w:sz="0" w:space="0" w:color="auto"/>
                <w:right w:val="none" w:sz="0" w:space="0" w:color="auto"/>
              </w:divBdr>
            </w:div>
          </w:divsChild>
        </w:div>
        <w:div w:id="501548653">
          <w:marLeft w:val="0"/>
          <w:marRight w:val="0"/>
          <w:marTop w:val="0"/>
          <w:marBottom w:val="0"/>
          <w:divBdr>
            <w:top w:val="none" w:sz="0" w:space="0" w:color="auto"/>
            <w:left w:val="none" w:sz="0" w:space="0" w:color="auto"/>
            <w:bottom w:val="none" w:sz="0" w:space="0" w:color="auto"/>
            <w:right w:val="none" w:sz="0" w:space="0" w:color="auto"/>
          </w:divBdr>
        </w:div>
        <w:div w:id="508258434">
          <w:marLeft w:val="0"/>
          <w:marRight w:val="0"/>
          <w:marTop w:val="0"/>
          <w:marBottom w:val="0"/>
          <w:divBdr>
            <w:top w:val="none" w:sz="0" w:space="0" w:color="auto"/>
            <w:left w:val="none" w:sz="0" w:space="0" w:color="auto"/>
            <w:bottom w:val="none" w:sz="0" w:space="0" w:color="auto"/>
            <w:right w:val="none" w:sz="0" w:space="0" w:color="auto"/>
          </w:divBdr>
        </w:div>
        <w:div w:id="1600526899">
          <w:marLeft w:val="0"/>
          <w:marRight w:val="0"/>
          <w:marTop w:val="0"/>
          <w:marBottom w:val="0"/>
          <w:divBdr>
            <w:top w:val="none" w:sz="0" w:space="0" w:color="auto"/>
            <w:left w:val="none" w:sz="0" w:space="0" w:color="auto"/>
            <w:bottom w:val="none" w:sz="0" w:space="0" w:color="auto"/>
            <w:right w:val="none" w:sz="0" w:space="0" w:color="auto"/>
          </w:divBdr>
        </w:div>
        <w:div w:id="801776969">
          <w:marLeft w:val="0"/>
          <w:marRight w:val="0"/>
          <w:marTop w:val="0"/>
          <w:marBottom w:val="0"/>
          <w:divBdr>
            <w:top w:val="none" w:sz="0" w:space="0" w:color="auto"/>
            <w:left w:val="none" w:sz="0" w:space="0" w:color="auto"/>
            <w:bottom w:val="none" w:sz="0" w:space="0" w:color="auto"/>
            <w:right w:val="none" w:sz="0" w:space="0" w:color="auto"/>
          </w:divBdr>
        </w:div>
      </w:divsChild>
    </w:div>
    <w:div w:id="1895235649">
      <w:bodyDiv w:val="1"/>
      <w:marLeft w:val="0"/>
      <w:marRight w:val="0"/>
      <w:marTop w:val="0"/>
      <w:marBottom w:val="0"/>
      <w:divBdr>
        <w:top w:val="none" w:sz="0" w:space="0" w:color="auto"/>
        <w:left w:val="none" w:sz="0" w:space="0" w:color="auto"/>
        <w:bottom w:val="none" w:sz="0" w:space="0" w:color="auto"/>
        <w:right w:val="none" w:sz="0" w:space="0" w:color="auto"/>
      </w:divBdr>
      <w:divsChild>
        <w:div w:id="1499343318">
          <w:marLeft w:val="0"/>
          <w:marRight w:val="0"/>
          <w:marTop w:val="60"/>
          <w:marBottom w:val="60"/>
          <w:divBdr>
            <w:top w:val="none" w:sz="0" w:space="0" w:color="auto"/>
            <w:left w:val="none" w:sz="0" w:space="0" w:color="auto"/>
            <w:bottom w:val="single" w:sz="4" w:space="2" w:color="A2A9B1"/>
            <w:right w:val="none" w:sz="0" w:space="0" w:color="auto"/>
          </w:divBdr>
        </w:div>
      </w:divsChild>
    </w:div>
    <w:div w:id="1917519371">
      <w:bodyDiv w:val="1"/>
      <w:marLeft w:val="0"/>
      <w:marRight w:val="0"/>
      <w:marTop w:val="0"/>
      <w:marBottom w:val="0"/>
      <w:divBdr>
        <w:top w:val="none" w:sz="0" w:space="0" w:color="auto"/>
        <w:left w:val="none" w:sz="0" w:space="0" w:color="auto"/>
        <w:bottom w:val="none" w:sz="0" w:space="0" w:color="auto"/>
        <w:right w:val="none" w:sz="0" w:space="0" w:color="auto"/>
      </w:divBdr>
    </w:div>
    <w:div w:id="2093889036">
      <w:bodyDiv w:val="1"/>
      <w:marLeft w:val="0"/>
      <w:marRight w:val="0"/>
      <w:marTop w:val="0"/>
      <w:marBottom w:val="0"/>
      <w:divBdr>
        <w:top w:val="none" w:sz="0" w:space="0" w:color="auto"/>
        <w:left w:val="none" w:sz="0" w:space="0" w:color="auto"/>
        <w:bottom w:val="none" w:sz="0" w:space="0" w:color="auto"/>
        <w:right w:val="none" w:sz="0" w:space="0" w:color="auto"/>
      </w:divBdr>
      <w:divsChild>
        <w:div w:id="972373194">
          <w:marLeft w:val="0"/>
          <w:marRight w:val="0"/>
          <w:marTop w:val="180"/>
          <w:marBottom w:val="240"/>
          <w:divBdr>
            <w:top w:val="none" w:sz="0" w:space="0" w:color="auto"/>
            <w:left w:val="none" w:sz="0" w:space="0" w:color="auto"/>
            <w:bottom w:val="none" w:sz="0" w:space="0" w:color="auto"/>
            <w:right w:val="none" w:sz="0" w:space="0" w:color="auto"/>
          </w:divBdr>
        </w:div>
        <w:div w:id="464086101">
          <w:marLeft w:val="0"/>
          <w:marRight w:val="0"/>
          <w:marTop w:val="0"/>
          <w:marBottom w:val="0"/>
          <w:divBdr>
            <w:top w:val="none" w:sz="0" w:space="0" w:color="auto"/>
            <w:left w:val="none" w:sz="0" w:space="0" w:color="auto"/>
            <w:bottom w:val="none" w:sz="0" w:space="0" w:color="auto"/>
            <w:right w:val="none" w:sz="0" w:space="0" w:color="auto"/>
          </w:divBdr>
          <w:divsChild>
            <w:div w:id="401878597">
              <w:marLeft w:val="0"/>
              <w:marRight w:val="0"/>
              <w:marTop w:val="60"/>
              <w:marBottom w:val="0"/>
              <w:divBdr>
                <w:top w:val="none" w:sz="0" w:space="0" w:color="auto"/>
                <w:left w:val="none" w:sz="0" w:space="0" w:color="auto"/>
                <w:bottom w:val="none" w:sz="0" w:space="0" w:color="auto"/>
                <w:right w:val="none" w:sz="0" w:space="0" w:color="auto"/>
              </w:divBdr>
              <w:divsChild>
                <w:div w:id="1878270509">
                  <w:marLeft w:val="0"/>
                  <w:marRight w:val="0"/>
                  <w:marTop w:val="0"/>
                  <w:marBottom w:val="0"/>
                  <w:divBdr>
                    <w:top w:val="none" w:sz="0" w:space="0" w:color="auto"/>
                    <w:left w:val="none" w:sz="0" w:space="0" w:color="auto"/>
                    <w:bottom w:val="none" w:sz="0" w:space="0" w:color="auto"/>
                    <w:right w:val="none" w:sz="0" w:space="0" w:color="auto"/>
                  </w:divBdr>
                  <w:divsChild>
                    <w:div w:id="310250922">
                      <w:marLeft w:val="0"/>
                      <w:marRight w:val="0"/>
                      <w:marTop w:val="0"/>
                      <w:marBottom w:val="0"/>
                      <w:divBdr>
                        <w:top w:val="none" w:sz="0" w:space="0" w:color="auto"/>
                        <w:left w:val="none" w:sz="0" w:space="0" w:color="auto"/>
                        <w:bottom w:val="none" w:sz="0" w:space="0" w:color="auto"/>
                        <w:right w:val="none" w:sz="0" w:space="0" w:color="auto"/>
                      </w:divBdr>
                      <w:divsChild>
                        <w:div w:id="71969242">
                          <w:marLeft w:val="0"/>
                          <w:marRight w:val="0"/>
                          <w:marTop w:val="0"/>
                          <w:marBottom w:val="0"/>
                          <w:divBdr>
                            <w:top w:val="none" w:sz="0" w:space="0" w:color="auto"/>
                            <w:left w:val="none" w:sz="0" w:space="0" w:color="auto"/>
                            <w:bottom w:val="none" w:sz="0" w:space="0" w:color="auto"/>
                            <w:right w:val="none" w:sz="0" w:space="0" w:color="auto"/>
                          </w:divBdr>
                          <w:divsChild>
                            <w:div w:id="1445345387">
                              <w:marLeft w:val="0"/>
                              <w:marRight w:val="0"/>
                              <w:marTop w:val="0"/>
                              <w:marBottom w:val="0"/>
                              <w:divBdr>
                                <w:top w:val="none" w:sz="0" w:space="0" w:color="auto"/>
                                <w:left w:val="none" w:sz="0" w:space="0" w:color="auto"/>
                                <w:bottom w:val="none" w:sz="0" w:space="0" w:color="auto"/>
                                <w:right w:val="none" w:sz="0" w:space="0" w:color="auto"/>
                              </w:divBdr>
                              <w:divsChild>
                                <w:div w:id="65151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2909">
                      <w:marLeft w:val="0"/>
                      <w:marRight w:val="0"/>
                      <w:marTop w:val="0"/>
                      <w:marBottom w:val="0"/>
                      <w:divBdr>
                        <w:top w:val="none" w:sz="0" w:space="0" w:color="auto"/>
                        <w:left w:val="none" w:sz="0" w:space="0" w:color="auto"/>
                        <w:bottom w:val="none" w:sz="0" w:space="0" w:color="auto"/>
                        <w:right w:val="none" w:sz="0" w:space="0" w:color="auto"/>
                      </w:divBdr>
                      <w:divsChild>
                        <w:div w:id="696781561">
                          <w:marLeft w:val="0"/>
                          <w:marRight w:val="0"/>
                          <w:marTop w:val="0"/>
                          <w:marBottom w:val="0"/>
                          <w:divBdr>
                            <w:top w:val="none" w:sz="0" w:space="0" w:color="auto"/>
                            <w:left w:val="none" w:sz="0" w:space="0" w:color="auto"/>
                            <w:bottom w:val="none" w:sz="0" w:space="0" w:color="auto"/>
                            <w:right w:val="none" w:sz="0" w:space="0" w:color="auto"/>
                          </w:divBdr>
                          <w:divsChild>
                            <w:div w:id="1905288137">
                              <w:marLeft w:val="0"/>
                              <w:marRight w:val="0"/>
                              <w:marTop w:val="0"/>
                              <w:marBottom w:val="0"/>
                              <w:divBdr>
                                <w:top w:val="none" w:sz="0" w:space="0" w:color="auto"/>
                                <w:left w:val="none" w:sz="0" w:space="0" w:color="auto"/>
                                <w:bottom w:val="none" w:sz="0" w:space="0" w:color="auto"/>
                                <w:right w:val="none" w:sz="0" w:space="0" w:color="auto"/>
                              </w:divBdr>
                              <w:divsChild>
                                <w:div w:id="110423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258670">
          <w:marLeft w:val="0"/>
          <w:marRight w:val="0"/>
          <w:marTop w:val="360"/>
          <w:marBottom w:val="180"/>
          <w:divBdr>
            <w:top w:val="none" w:sz="0" w:space="0" w:color="auto"/>
            <w:left w:val="none" w:sz="0" w:space="0" w:color="auto"/>
            <w:bottom w:val="none" w:sz="0" w:space="0" w:color="auto"/>
            <w:right w:val="none" w:sz="0" w:space="0" w:color="auto"/>
          </w:divBdr>
        </w:div>
        <w:div w:id="1916698617">
          <w:marLeft w:val="0"/>
          <w:marRight w:val="0"/>
          <w:marTop w:val="360"/>
          <w:marBottom w:val="180"/>
          <w:divBdr>
            <w:top w:val="none" w:sz="0" w:space="0" w:color="auto"/>
            <w:left w:val="none" w:sz="0" w:space="0" w:color="auto"/>
            <w:bottom w:val="none" w:sz="0" w:space="0" w:color="auto"/>
            <w:right w:val="none" w:sz="0" w:space="0" w:color="auto"/>
          </w:divBdr>
        </w:div>
        <w:div w:id="419984267">
          <w:marLeft w:val="0"/>
          <w:marRight w:val="0"/>
          <w:marTop w:val="180"/>
          <w:marBottom w:val="240"/>
          <w:divBdr>
            <w:top w:val="none" w:sz="0" w:space="0" w:color="auto"/>
            <w:left w:val="none" w:sz="0" w:space="0" w:color="auto"/>
            <w:bottom w:val="none" w:sz="0" w:space="0" w:color="auto"/>
            <w:right w:val="none" w:sz="0" w:space="0" w:color="auto"/>
          </w:divBdr>
        </w:div>
        <w:div w:id="793712512">
          <w:marLeft w:val="0"/>
          <w:marRight w:val="0"/>
          <w:marTop w:val="360"/>
          <w:marBottom w:val="180"/>
          <w:divBdr>
            <w:top w:val="none" w:sz="0" w:space="0" w:color="auto"/>
            <w:left w:val="none" w:sz="0" w:space="0" w:color="auto"/>
            <w:bottom w:val="none" w:sz="0" w:space="0" w:color="auto"/>
            <w:right w:val="none" w:sz="0" w:space="0" w:color="auto"/>
          </w:divBdr>
        </w:div>
        <w:div w:id="476193994">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6</Pages>
  <Words>1612</Words>
  <Characters>8866</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2026-08-17T16:20:00Z</dcterms:created>
  <dcterms:modified xsi:type="dcterms:W3CDTF">2026-08-18T06:59:00Z</dcterms:modified>
</cp:coreProperties>
</file>